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EF6" w:rsidRPr="00C42F15" w:rsidRDefault="00516EF6" w:rsidP="00516EF6">
      <w:pPr>
        <w:pBdr>
          <w:top w:val="single" w:sz="18" w:space="6" w:color="auto"/>
          <w:bottom w:val="single" w:sz="18" w:space="6" w:color="auto"/>
        </w:pBdr>
        <w:spacing w:line="240" w:lineRule="exact"/>
        <w:jc w:val="center"/>
        <w:rPr>
          <w:b/>
          <w:sz w:val="22"/>
          <w:szCs w:val="22"/>
        </w:rPr>
      </w:pPr>
      <w:r w:rsidRPr="00C42F15">
        <w:rPr>
          <w:b/>
          <w:sz w:val="22"/>
          <w:szCs w:val="22"/>
        </w:rPr>
        <w:t xml:space="preserve">REVISED MEMORANDUM OF UNDERSTANDING </w:t>
      </w:r>
    </w:p>
    <w:p w:rsidR="00516EF6" w:rsidRPr="00C42F15" w:rsidRDefault="00516EF6" w:rsidP="00516EF6">
      <w:pPr>
        <w:pBdr>
          <w:top w:val="single" w:sz="18" w:space="6" w:color="auto"/>
          <w:bottom w:val="single" w:sz="18" w:space="6" w:color="auto"/>
        </w:pBdr>
        <w:spacing w:line="240" w:lineRule="exact"/>
        <w:jc w:val="center"/>
        <w:rPr>
          <w:b/>
          <w:sz w:val="22"/>
          <w:szCs w:val="22"/>
        </w:rPr>
      </w:pPr>
      <w:r w:rsidRPr="00C42F15">
        <w:rPr>
          <w:b/>
          <w:sz w:val="22"/>
          <w:szCs w:val="22"/>
        </w:rPr>
        <w:t xml:space="preserve">BETWEEN </w:t>
      </w:r>
    </w:p>
    <w:p w:rsidR="00516EF6" w:rsidRPr="00C42F15" w:rsidRDefault="00516EF6" w:rsidP="00516EF6">
      <w:pPr>
        <w:pBdr>
          <w:top w:val="single" w:sz="18" w:space="6" w:color="auto"/>
          <w:bottom w:val="single" w:sz="18" w:space="6" w:color="auto"/>
        </w:pBdr>
        <w:spacing w:line="240" w:lineRule="exact"/>
        <w:jc w:val="center"/>
        <w:rPr>
          <w:b/>
          <w:sz w:val="22"/>
          <w:szCs w:val="22"/>
        </w:rPr>
      </w:pPr>
      <w:r w:rsidRPr="00C42F15">
        <w:rPr>
          <w:b/>
          <w:sz w:val="22"/>
          <w:szCs w:val="22"/>
        </w:rPr>
        <w:t xml:space="preserve">THE COMMISSION FOR THE CONSERVATION AND MANAGEMENT OF HIGHLY MIGRATORY FISH STOCKS IN THE WESTERN AND CENTRAL PACIFIC OCEAN </w:t>
      </w:r>
    </w:p>
    <w:p w:rsidR="00516EF6" w:rsidRPr="00C42F15" w:rsidRDefault="00516EF6" w:rsidP="00516EF6">
      <w:pPr>
        <w:pBdr>
          <w:top w:val="single" w:sz="18" w:space="6" w:color="auto"/>
          <w:bottom w:val="single" w:sz="18" w:space="6" w:color="auto"/>
        </w:pBdr>
        <w:spacing w:line="240" w:lineRule="exact"/>
        <w:jc w:val="center"/>
        <w:rPr>
          <w:b/>
          <w:sz w:val="22"/>
          <w:szCs w:val="22"/>
        </w:rPr>
      </w:pPr>
      <w:r w:rsidRPr="00C42F15">
        <w:rPr>
          <w:b/>
          <w:sz w:val="22"/>
          <w:szCs w:val="22"/>
        </w:rPr>
        <w:t xml:space="preserve">AND </w:t>
      </w:r>
    </w:p>
    <w:p w:rsidR="00516EF6" w:rsidRPr="00C42F15" w:rsidRDefault="00516EF6" w:rsidP="00516EF6">
      <w:pPr>
        <w:pBdr>
          <w:top w:val="single" w:sz="18" w:space="6" w:color="auto"/>
          <w:bottom w:val="single" w:sz="18" w:space="6" w:color="auto"/>
        </w:pBdr>
        <w:spacing w:line="240" w:lineRule="exact"/>
        <w:jc w:val="center"/>
        <w:rPr>
          <w:b/>
          <w:bCs/>
          <w:sz w:val="22"/>
          <w:szCs w:val="22"/>
        </w:rPr>
      </w:pPr>
      <w:r w:rsidRPr="00C42F15">
        <w:rPr>
          <w:b/>
          <w:sz w:val="22"/>
          <w:szCs w:val="22"/>
        </w:rPr>
        <w:t>THE SECRETARIAT OF THE PACIFIC COMMUNITY</w:t>
      </w:r>
      <w:r w:rsidR="0025046B" w:rsidRPr="00C42F15">
        <w:rPr>
          <w:b/>
          <w:bCs/>
          <w:sz w:val="22"/>
          <w:szCs w:val="22"/>
        </w:rPr>
        <w:fldChar w:fldCharType="begin"/>
      </w:r>
      <w:r w:rsidRPr="00C42F15">
        <w:rPr>
          <w:b/>
          <w:sz w:val="22"/>
          <w:szCs w:val="22"/>
        </w:rPr>
        <w:instrText xml:space="preserve"> TC " </w:instrText>
      </w:r>
      <w:bookmarkStart w:id="0" w:name="_Toc245251857"/>
      <w:bookmarkStart w:id="1" w:name="_Toc245252209"/>
      <w:bookmarkStart w:id="2" w:name="_Toc245252392"/>
      <w:bookmarkStart w:id="3" w:name="_Toc245252700"/>
      <w:bookmarkStart w:id="4" w:name="_Toc245252775"/>
      <w:bookmarkStart w:id="5" w:name="_Toc245255293"/>
      <w:bookmarkStart w:id="6" w:name="_Toc245255392"/>
      <w:bookmarkStart w:id="7" w:name="_Toc245258214"/>
      <w:bookmarkStart w:id="8" w:name="_Toc245258318"/>
      <w:bookmarkStart w:id="9" w:name="_Toc245258543"/>
      <w:bookmarkStart w:id="10" w:name="_Toc245258822"/>
      <w:bookmarkStart w:id="11" w:name="_Toc245260786"/>
      <w:bookmarkStart w:id="12" w:name="_Toc245261158"/>
      <w:bookmarkStart w:id="13" w:name="_Toc245261345"/>
      <w:bookmarkStart w:id="14" w:name="_Toc245261526"/>
      <w:bookmarkStart w:id="15" w:name="_Toc245520166"/>
      <w:bookmarkStart w:id="16" w:name="_Toc245520431"/>
      <w:bookmarkStart w:id="17" w:name="_Toc245611336"/>
      <w:bookmarkStart w:id="18" w:name="_Toc245611404"/>
      <w:r w:rsidRPr="00C42F15">
        <w:rPr>
          <w:sz w:val="22"/>
          <w:szCs w:val="22"/>
        </w:rPr>
        <w:instrText>Attachment O</w:instrText>
      </w:r>
      <w:r w:rsidRPr="00C42F15">
        <w:rPr>
          <w:bCs/>
          <w:sz w:val="22"/>
          <w:szCs w:val="22"/>
        </w:rPr>
        <w:instrText xml:space="preserve"> — </w:instrText>
      </w:r>
      <w:bookmarkEnd w:id="0"/>
      <w:bookmarkEnd w:id="1"/>
      <w:bookmarkEnd w:id="2"/>
      <w:bookmarkEnd w:id="3"/>
      <w:bookmarkEnd w:id="4"/>
      <w:bookmarkEnd w:id="5"/>
      <w:bookmarkEnd w:id="6"/>
      <w:bookmarkEnd w:id="7"/>
      <w:bookmarkEnd w:id="8"/>
      <w:bookmarkEnd w:id="9"/>
      <w:bookmarkEnd w:id="10"/>
      <w:r w:rsidRPr="00C42F15">
        <w:rPr>
          <w:bCs/>
          <w:sz w:val="22"/>
          <w:szCs w:val="22"/>
        </w:rPr>
        <w:instrText>Revised</w:instrText>
      </w:r>
      <w:r w:rsidRPr="00C42F15">
        <w:rPr>
          <w:b/>
          <w:bCs/>
          <w:sz w:val="22"/>
          <w:szCs w:val="22"/>
        </w:rPr>
        <w:instrText xml:space="preserve"> </w:instrText>
      </w:r>
      <w:r w:rsidRPr="00C42F15">
        <w:rPr>
          <w:sz w:val="22"/>
          <w:szCs w:val="22"/>
        </w:rPr>
        <w:instrText>MOU Between</w:instrText>
      </w:r>
      <w:r w:rsidRPr="00C42F15">
        <w:rPr>
          <w:b/>
          <w:sz w:val="22"/>
          <w:szCs w:val="22"/>
        </w:rPr>
        <w:instrText xml:space="preserve"> </w:instrText>
      </w:r>
      <w:r w:rsidRPr="00C42F15">
        <w:rPr>
          <w:sz w:val="22"/>
          <w:szCs w:val="22"/>
        </w:rPr>
        <w:instrText>WCPFC and SPC</w:instrText>
      </w:r>
      <w:bookmarkEnd w:id="11"/>
      <w:bookmarkEnd w:id="12"/>
      <w:bookmarkEnd w:id="13"/>
      <w:bookmarkEnd w:id="14"/>
      <w:bookmarkEnd w:id="15"/>
      <w:bookmarkEnd w:id="16"/>
      <w:bookmarkEnd w:id="17"/>
      <w:bookmarkEnd w:id="18"/>
      <w:r w:rsidRPr="00C42F15">
        <w:rPr>
          <w:b/>
          <w:sz w:val="22"/>
          <w:szCs w:val="22"/>
        </w:rPr>
        <w:instrText xml:space="preserve">" \f C \l "2" </w:instrText>
      </w:r>
      <w:r w:rsidR="0025046B" w:rsidRPr="00C42F15">
        <w:rPr>
          <w:b/>
          <w:bCs/>
          <w:sz w:val="22"/>
          <w:szCs w:val="22"/>
        </w:rPr>
        <w:fldChar w:fldCharType="end"/>
      </w:r>
    </w:p>
    <w:p w:rsidR="00516EF6" w:rsidRPr="00C42F15" w:rsidRDefault="00516EF6" w:rsidP="00516EF6">
      <w:pPr>
        <w:snapToGrid w:val="0"/>
        <w:spacing w:line="240" w:lineRule="exact"/>
        <w:rPr>
          <w:b/>
          <w:sz w:val="22"/>
          <w:szCs w:val="22"/>
          <w:lang w:eastAsia="ko-KR"/>
        </w:rPr>
      </w:pPr>
    </w:p>
    <w:p w:rsidR="00516EF6" w:rsidRPr="00C42F15" w:rsidRDefault="00516EF6" w:rsidP="00516EF6">
      <w:pPr>
        <w:autoSpaceDE w:val="0"/>
        <w:autoSpaceDN w:val="0"/>
        <w:adjustRightInd w:val="0"/>
        <w:rPr>
          <w:b/>
          <w:bCs/>
          <w:sz w:val="22"/>
          <w:szCs w:val="22"/>
        </w:rPr>
      </w:pPr>
    </w:p>
    <w:p w:rsidR="00516EF6" w:rsidRPr="00C42F15" w:rsidRDefault="00516EF6" w:rsidP="00516EF6">
      <w:pPr>
        <w:snapToGrid w:val="0"/>
        <w:rPr>
          <w:sz w:val="22"/>
          <w:szCs w:val="22"/>
        </w:rPr>
      </w:pPr>
      <w:r w:rsidRPr="00C42F15">
        <w:rPr>
          <w:sz w:val="22"/>
          <w:szCs w:val="22"/>
        </w:rPr>
        <w:t>The Commission for the Conservation and Management of Highly Migratory Fish Stocks in the Western and Central Pacific Ocean (hereinafter referred to as “the Western and Central Pacific Fisheries Commission” or “the Commission”) and the Secretariat of the Pacific Community (hereinafter referred to as “the SPC”):</w:t>
      </w:r>
    </w:p>
    <w:p w:rsidR="00516EF6" w:rsidRPr="00C42F15" w:rsidRDefault="00516EF6" w:rsidP="00516EF6">
      <w:pPr>
        <w:snapToGrid w:val="0"/>
        <w:rPr>
          <w:b/>
          <w:sz w:val="22"/>
          <w:szCs w:val="22"/>
          <w:u w:val="single"/>
        </w:rPr>
      </w:pPr>
    </w:p>
    <w:p w:rsidR="00516EF6" w:rsidRPr="00C42F15" w:rsidRDefault="00516EF6" w:rsidP="00516EF6">
      <w:pPr>
        <w:snapToGrid w:val="0"/>
        <w:rPr>
          <w:sz w:val="22"/>
          <w:szCs w:val="22"/>
        </w:rPr>
      </w:pPr>
      <w:r w:rsidRPr="00C42F15">
        <w:rPr>
          <w:b/>
          <w:sz w:val="22"/>
          <w:szCs w:val="22"/>
        </w:rPr>
        <w:t>Recognizing</w:t>
      </w:r>
      <w:r w:rsidRPr="00C42F15">
        <w:rPr>
          <w:sz w:val="22"/>
          <w:szCs w:val="22"/>
        </w:rPr>
        <w:t xml:space="preserve"> that the Commission is required to,</w:t>
      </w:r>
      <w:r w:rsidRPr="00C42F15">
        <w:rPr>
          <w:i/>
          <w:sz w:val="22"/>
          <w:szCs w:val="22"/>
        </w:rPr>
        <w:t xml:space="preserve"> inter alia</w:t>
      </w:r>
      <w:r w:rsidRPr="00C42F15">
        <w:rPr>
          <w:sz w:val="22"/>
          <w:szCs w:val="22"/>
        </w:rPr>
        <w:t>:</w:t>
      </w:r>
    </w:p>
    <w:p w:rsidR="00516EF6" w:rsidRPr="00C42F15" w:rsidRDefault="00516EF6" w:rsidP="00516EF6">
      <w:pPr>
        <w:numPr>
          <w:ilvl w:val="0"/>
          <w:numId w:val="2"/>
        </w:numPr>
        <w:snapToGrid w:val="0"/>
        <w:rPr>
          <w:sz w:val="22"/>
          <w:szCs w:val="22"/>
        </w:rPr>
      </w:pPr>
      <w:r w:rsidRPr="00C42F15">
        <w:rPr>
          <w:sz w:val="22"/>
          <w:szCs w:val="22"/>
        </w:rPr>
        <w:t>adopt measures to ensure long-term sustainability of highly migratory fish stocks in its Convention Area and promote the objective of their optimum utilization;</w:t>
      </w:r>
    </w:p>
    <w:p w:rsidR="00516EF6" w:rsidRPr="00C42F15" w:rsidRDefault="00516EF6" w:rsidP="00516EF6">
      <w:pPr>
        <w:numPr>
          <w:ilvl w:val="0"/>
          <w:numId w:val="2"/>
        </w:numPr>
        <w:snapToGrid w:val="0"/>
        <w:rPr>
          <w:sz w:val="22"/>
          <w:szCs w:val="22"/>
        </w:rPr>
      </w:pPr>
      <w:r w:rsidRPr="00C42F15">
        <w:rPr>
          <w:sz w:val="22"/>
          <w:szCs w:val="22"/>
        </w:rPr>
        <w:t>ensure that such measures are based on the best scientific evidence available and are designed to maintain or restore stocks at levels capable of producing maximum sustainable yield, as qualified by relevant environmental and economic factors, including the special requirements of developing States in the Convention Area, particularly small island developing States, and taking into account fishing patterns, the interdependence of stocks and any generally recommended international minimum standards, whether subregional, regional, or global;</w:t>
      </w:r>
    </w:p>
    <w:p w:rsidR="00516EF6" w:rsidRPr="00C42F15" w:rsidRDefault="00516EF6" w:rsidP="00516EF6">
      <w:pPr>
        <w:numPr>
          <w:ilvl w:val="0"/>
          <w:numId w:val="2"/>
        </w:numPr>
        <w:snapToGrid w:val="0"/>
        <w:rPr>
          <w:sz w:val="22"/>
          <w:szCs w:val="22"/>
        </w:rPr>
      </w:pPr>
      <w:r w:rsidRPr="00C42F15">
        <w:rPr>
          <w:sz w:val="22"/>
          <w:szCs w:val="22"/>
        </w:rPr>
        <w:t>assess the impacts of fishing, other human activities and environmental factors on target stocks, non-target species, and species belonging to the same ecosystem or dependent upon or associated with the target stocks;</w:t>
      </w:r>
    </w:p>
    <w:p w:rsidR="00516EF6" w:rsidRPr="00C42F15" w:rsidRDefault="00516EF6" w:rsidP="00516EF6">
      <w:pPr>
        <w:numPr>
          <w:ilvl w:val="0"/>
          <w:numId w:val="2"/>
        </w:numPr>
        <w:snapToGrid w:val="0"/>
        <w:rPr>
          <w:sz w:val="22"/>
          <w:szCs w:val="22"/>
        </w:rPr>
      </w:pPr>
      <w:r w:rsidRPr="00C42F15">
        <w:rPr>
          <w:sz w:val="22"/>
          <w:szCs w:val="22"/>
        </w:rPr>
        <w:t>adopt measures to minimize waste, discards, catch by lost or abandoned gear, pollution originating from fishing vessels, catch of non-target species, both fish and non-fish species (hereinafter referred to as non-target species) and impacts on associated or dependent species, in particular endangered species and promote the development and use of selective, environmentally safe and cost-effective fishing gear and techniques;</w:t>
      </w:r>
    </w:p>
    <w:p w:rsidR="00516EF6" w:rsidRPr="00C42F15" w:rsidRDefault="00516EF6" w:rsidP="00516EF6">
      <w:pPr>
        <w:numPr>
          <w:ilvl w:val="0"/>
          <w:numId w:val="2"/>
        </w:numPr>
        <w:snapToGrid w:val="0"/>
        <w:rPr>
          <w:sz w:val="22"/>
          <w:szCs w:val="22"/>
        </w:rPr>
      </w:pPr>
      <w:r w:rsidRPr="00C42F15">
        <w:rPr>
          <w:sz w:val="22"/>
          <w:szCs w:val="22"/>
        </w:rPr>
        <w:t>protect biodiversity in the marine environment;</w:t>
      </w:r>
    </w:p>
    <w:p w:rsidR="00516EF6" w:rsidRPr="00C42F15" w:rsidRDefault="00516EF6" w:rsidP="00516EF6">
      <w:pPr>
        <w:numPr>
          <w:ilvl w:val="0"/>
          <w:numId w:val="2"/>
        </w:numPr>
        <w:snapToGrid w:val="0"/>
        <w:rPr>
          <w:sz w:val="22"/>
          <w:szCs w:val="22"/>
        </w:rPr>
      </w:pPr>
      <w:r w:rsidRPr="00C42F15">
        <w:rPr>
          <w:sz w:val="22"/>
          <w:szCs w:val="22"/>
        </w:rPr>
        <w:t>take measures to prevent or eliminate over-fishing and excess fishing capacity and to ensure that levels of fishing effort do not exceed those commensurate with the sustainable use of fishery resources;</w:t>
      </w:r>
    </w:p>
    <w:p w:rsidR="00516EF6" w:rsidRPr="00C42F15" w:rsidRDefault="00516EF6" w:rsidP="00516EF6">
      <w:pPr>
        <w:numPr>
          <w:ilvl w:val="0"/>
          <w:numId w:val="2"/>
        </w:numPr>
        <w:snapToGrid w:val="0"/>
        <w:rPr>
          <w:sz w:val="22"/>
          <w:szCs w:val="22"/>
        </w:rPr>
      </w:pPr>
      <w:r w:rsidRPr="00C42F15">
        <w:rPr>
          <w:sz w:val="22"/>
          <w:szCs w:val="22"/>
        </w:rPr>
        <w:t xml:space="preserve">collect and share, in a timely manner, complete and accurate data concerning fishing activities on, </w:t>
      </w:r>
      <w:r w:rsidRPr="00C42F15">
        <w:rPr>
          <w:i/>
          <w:sz w:val="22"/>
          <w:szCs w:val="22"/>
        </w:rPr>
        <w:t>inter alia</w:t>
      </w:r>
      <w:r w:rsidRPr="00C42F15">
        <w:rPr>
          <w:sz w:val="22"/>
          <w:szCs w:val="22"/>
        </w:rPr>
        <w:t xml:space="preserve">, vessel position, catch of target and non-target species and fishing effort, as well as information from national and international research programs; </w:t>
      </w:r>
    </w:p>
    <w:p w:rsidR="00516EF6" w:rsidRPr="00C42F15" w:rsidRDefault="00516EF6" w:rsidP="00516EF6">
      <w:pPr>
        <w:numPr>
          <w:ilvl w:val="0"/>
          <w:numId w:val="2"/>
        </w:numPr>
        <w:snapToGrid w:val="0"/>
        <w:rPr>
          <w:sz w:val="22"/>
          <w:szCs w:val="22"/>
        </w:rPr>
      </w:pPr>
      <w:r w:rsidRPr="00C42F15">
        <w:rPr>
          <w:sz w:val="22"/>
          <w:szCs w:val="22"/>
        </w:rPr>
        <w:t>establish a committee (the Scientific Committee) to ensure that the Commission obtains for its consideration the best scientific information available through review of research results, encouraging and promoting cooperation in scientific research and assessing status of target or non-target stocks of interest;</w:t>
      </w:r>
    </w:p>
    <w:p w:rsidR="00516EF6" w:rsidRPr="00C42F15" w:rsidRDefault="00516EF6" w:rsidP="00516EF6">
      <w:pPr>
        <w:numPr>
          <w:ilvl w:val="0"/>
          <w:numId w:val="2"/>
        </w:numPr>
        <w:snapToGrid w:val="0"/>
        <w:rPr>
          <w:sz w:val="22"/>
          <w:szCs w:val="22"/>
        </w:rPr>
      </w:pPr>
      <w:r w:rsidRPr="00C42F15">
        <w:rPr>
          <w:sz w:val="22"/>
          <w:szCs w:val="22"/>
        </w:rPr>
        <w:t>establish a committee (the Technical and Compliance Committee), that is required to collaborate with the Scientific Committee in providing advice and making recommendations to the Commission on conservation and management measures; and</w:t>
      </w:r>
    </w:p>
    <w:p w:rsidR="00516EF6" w:rsidRPr="00C42F15" w:rsidRDefault="00516EF6" w:rsidP="00516EF6">
      <w:pPr>
        <w:numPr>
          <w:ilvl w:val="0"/>
          <w:numId w:val="2"/>
        </w:numPr>
        <w:snapToGrid w:val="0"/>
        <w:rPr>
          <w:sz w:val="22"/>
          <w:szCs w:val="22"/>
        </w:rPr>
      </w:pPr>
      <w:r w:rsidRPr="00C42F15">
        <w:rPr>
          <w:sz w:val="22"/>
          <w:szCs w:val="22"/>
        </w:rPr>
        <w:t>establish a committee (the Northern Committee) to make recommendations on the implementation of such conservation and management measures as may be adopted by the Commission for the area north of the 20° parallel of north latitude and on the formulation of such measures in respect of stocks which occur mostly in this area;</w:t>
      </w:r>
    </w:p>
    <w:p w:rsidR="00516EF6" w:rsidRPr="00C42F15" w:rsidRDefault="00516EF6" w:rsidP="00516EF6">
      <w:pPr>
        <w:snapToGrid w:val="0"/>
        <w:rPr>
          <w:b/>
          <w:sz w:val="22"/>
          <w:szCs w:val="22"/>
          <w:u w:val="single"/>
        </w:rPr>
      </w:pPr>
    </w:p>
    <w:p w:rsidR="00516EF6" w:rsidRPr="00C42F15" w:rsidRDefault="00516EF6" w:rsidP="00516EF6">
      <w:pPr>
        <w:snapToGrid w:val="0"/>
        <w:rPr>
          <w:sz w:val="22"/>
          <w:szCs w:val="22"/>
        </w:rPr>
      </w:pPr>
      <w:r w:rsidRPr="00C42F15">
        <w:rPr>
          <w:b/>
          <w:sz w:val="22"/>
          <w:szCs w:val="22"/>
        </w:rPr>
        <w:t>Noting</w:t>
      </w:r>
      <w:r w:rsidRPr="00C42F15">
        <w:rPr>
          <w:sz w:val="22"/>
          <w:szCs w:val="22"/>
        </w:rPr>
        <w:t xml:space="preserve"> also that the Commission:</w:t>
      </w:r>
    </w:p>
    <w:p w:rsidR="00516EF6" w:rsidRPr="00C42F15" w:rsidRDefault="00516EF6" w:rsidP="00516EF6">
      <w:pPr>
        <w:numPr>
          <w:ilvl w:val="0"/>
          <w:numId w:val="3"/>
        </w:numPr>
        <w:snapToGrid w:val="0"/>
        <w:rPr>
          <w:sz w:val="22"/>
          <w:szCs w:val="22"/>
        </w:rPr>
      </w:pPr>
      <w:r w:rsidRPr="00C42F15">
        <w:rPr>
          <w:sz w:val="22"/>
          <w:szCs w:val="22"/>
        </w:rPr>
        <w:lastRenderedPageBreak/>
        <w:t>may engage the services of scientific experts to provide information and advice on the fishery resources covered by its Convention and related matters that may be relevant to the conservation and management of those resources;</w:t>
      </w:r>
    </w:p>
    <w:p w:rsidR="00516EF6" w:rsidRPr="00C42F15" w:rsidRDefault="00516EF6" w:rsidP="00516EF6">
      <w:pPr>
        <w:numPr>
          <w:ilvl w:val="0"/>
          <w:numId w:val="3"/>
        </w:numPr>
        <w:snapToGrid w:val="0"/>
        <w:rPr>
          <w:sz w:val="22"/>
          <w:szCs w:val="22"/>
        </w:rPr>
      </w:pPr>
      <w:r w:rsidRPr="00C42F15">
        <w:rPr>
          <w:sz w:val="22"/>
          <w:szCs w:val="22"/>
        </w:rPr>
        <w:t>may enter into administrative and financial arrangements to utilise scientific services for this purpose; and</w:t>
      </w:r>
    </w:p>
    <w:p w:rsidR="00516EF6" w:rsidRPr="00C42F15" w:rsidRDefault="00516EF6" w:rsidP="00516EF6">
      <w:pPr>
        <w:numPr>
          <w:ilvl w:val="0"/>
          <w:numId w:val="3"/>
        </w:numPr>
        <w:snapToGrid w:val="0"/>
        <w:rPr>
          <w:sz w:val="22"/>
          <w:szCs w:val="22"/>
        </w:rPr>
      </w:pPr>
      <w:r w:rsidRPr="00C42F15">
        <w:rPr>
          <w:sz w:val="22"/>
          <w:szCs w:val="22"/>
        </w:rPr>
        <w:t>in order to carry out its functions in a cost-effective manner, shall, to the greatest extent possible, utilise the services of existing regional organizations and shall consult, as appropriate, with any other fisheries management, technical or scientific organization with expertise in matters related to the work of the Commission;</w:t>
      </w:r>
    </w:p>
    <w:p w:rsidR="00516EF6" w:rsidRPr="00C42F15" w:rsidRDefault="00516EF6" w:rsidP="00516EF6">
      <w:pPr>
        <w:snapToGrid w:val="0"/>
        <w:rPr>
          <w:b/>
          <w:sz w:val="22"/>
          <w:szCs w:val="22"/>
          <w:u w:val="single"/>
        </w:rPr>
      </w:pPr>
    </w:p>
    <w:p w:rsidR="00516EF6" w:rsidRPr="00C42F15" w:rsidRDefault="00516EF6" w:rsidP="00516EF6">
      <w:pPr>
        <w:snapToGrid w:val="0"/>
        <w:rPr>
          <w:sz w:val="22"/>
          <w:szCs w:val="22"/>
        </w:rPr>
      </w:pPr>
      <w:r w:rsidRPr="00C42F15">
        <w:rPr>
          <w:b/>
          <w:sz w:val="22"/>
          <w:szCs w:val="22"/>
        </w:rPr>
        <w:t>Recognizing</w:t>
      </w:r>
      <w:r w:rsidRPr="00C42F15">
        <w:rPr>
          <w:sz w:val="22"/>
          <w:szCs w:val="22"/>
        </w:rPr>
        <w:t xml:space="preserve"> that the SPC, through the work of its Oceanic Fisheries Programme (hereinafter referred to as “the OFP”), seeks to:</w:t>
      </w:r>
    </w:p>
    <w:p w:rsidR="00516EF6" w:rsidRPr="00C42F15" w:rsidRDefault="00516EF6" w:rsidP="00516EF6">
      <w:pPr>
        <w:numPr>
          <w:ilvl w:val="0"/>
          <w:numId w:val="4"/>
        </w:numPr>
        <w:snapToGrid w:val="0"/>
        <w:jc w:val="both"/>
        <w:rPr>
          <w:sz w:val="22"/>
          <w:szCs w:val="22"/>
        </w:rPr>
      </w:pPr>
      <w:r w:rsidRPr="00C42F15">
        <w:rPr>
          <w:sz w:val="22"/>
          <w:szCs w:val="22"/>
        </w:rPr>
        <w:t>ensure that regional and national fisheries management authorities in its region of competence have access to high-quality scientific information and advice on the status of, and fishery impacts on, stocks targeted or otherwise impacted by regional oceanic fisheries;</w:t>
      </w:r>
    </w:p>
    <w:p w:rsidR="00516EF6" w:rsidRPr="00C42F15" w:rsidRDefault="00516EF6" w:rsidP="00516EF6">
      <w:pPr>
        <w:numPr>
          <w:ilvl w:val="0"/>
          <w:numId w:val="4"/>
        </w:numPr>
        <w:snapToGrid w:val="0"/>
        <w:jc w:val="both"/>
        <w:rPr>
          <w:sz w:val="22"/>
          <w:szCs w:val="22"/>
        </w:rPr>
      </w:pPr>
      <w:r w:rsidRPr="00C42F15">
        <w:rPr>
          <w:sz w:val="22"/>
          <w:szCs w:val="22"/>
        </w:rPr>
        <w:t>ensure that regional and national fisheries management authorities within its region of competence have access to accurate and comprehensive scientific data on fisheries targeting the region’s resources of tuna, billfish and other oceanic species including non-target species; and</w:t>
      </w:r>
    </w:p>
    <w:p w:rsidR="00516EF6" w:rsidRPr="00C42F15" w:rsidRDefault="00516EF6" w:rsidP="00516EF6">
      <w:pPr>
        <w:numPr>
          <w:ilvl w:val="0"/>
          <w:numId w:val="4"/>
        </w:numPr>
        <w:snapToGrid w:val="0"/>
        <w:rPr>
          <w:sz w:val="22"/>
          <w:szCs w:val="22"/>
        </w:rPr>
      </w:pPr>
      <w:r w:rsidRPr="00C42F15">
        <w:rPr>
          <w:sz w:val="22"/>
          <w:szCs w:val="22"/>
        </w:rPr>
        <w:t>improve the understanding of pelagic ecosystems in the western and central Pacific Ocean, with a focus on the western tropical Pacific;</w:t>
      </w:r>
    </w:p>
    <w:p w:rsidR="00516EF6" w:rsidRPr="00C42F15" w:rsidRDefault="00516EF6" w:rsidP="00516EF6">
      <w:pPr>
        <w:snapToGrid w:val="0"/>
        <w:rPr>
          <w:b/>
          <w:sz w:val="22"/>
          <w:szCs w:val="22"/>
          <w:u w:val="single"/>
        </w:rPr>
      </w:pPr>
    </w:p>
    <w:p w:rsidR="00516EF6" w:rsidRPr="00C42F15" w:rsidRDefault="00516EF6" w:rsidP="00516EF6">
      <w:pPr>
        <w:snapToGrid w:val="0"/>
        <w:rPr>
          <w:sz w:val="22"/>
          <w:szCs w:val="22"/>
        </w:rPr>
      </w:pPr>
      <w:r w:rsidRPr="00C42F15">
        <w:rPr>
          <w:b/>
          <w:sz w:val="22"/>
          <w:szCs w:val="22"/>
        </w:rPr>
        <w:t>Noting</w:t>
      </w:r>
      <w:r w:rsidRPr="00C42F15">
        <w:rPr>
          <w:sz w:val="22"/>
          <w:szCs w:val="22"/>
        </w:rPr>
        <w:t xml:space="preserve"> also that the OFP, in pursuing these objectives, has, over a long period of time:</w:t>
      </w:r>
    </w:p>
    <w:p w:rsidR="00516EF6" w:rsidRPr="00C42F15" w:rsidRDefault="00516EF6" w:rsidP="00516EF6">
      <w:pPr>
        <w:numPr>
          <w:ilvl w:val="0"/>
          <w:numId w:val="5"/>
        </w:numPr>
        <w:snapToGrid w:val="0"/>
        <w:rPr>
          <w:sz w:val="22"/>
          <w:szCs w:val="22"/>
        </w:rPr>
      </w:pPr>
      <w:r w:rsidRPr="00C42F15">
        <w:rPr>
          <w:sz w:val="22"/>
          <w:szCs w:val="22"/>
        </w:rPr>
        <w:t>developed and maintained a comprehensive database of catch, effort, size composition and other biological data from the oceanic fisheries of the western and central Pacific Ocean;</w:t>
      </w:r>
    </w:p>
    <w:p w:rsidR="00516EF6" w:rsidRPr="00C42F15" w:rsidRDefault="00516EF6" w:rsidP="00516EF6">
      <w:pPr>
        <w:numPr>
          <w:ilvl w:val="0"/>
          <w:numId w:val="5"/>
        </w:numPr>
        <w:snapToGrid w:val="0"/>
        <w:rPr>
          <w:sz w:val="22"/>
          <w:szCs w:val="22"/>
        </w:rPr>
      </w:pPr>
      <w:r w:rsidRPr="00C42F15">
        <w:rPr>
          <w:sz w:val="22"/>
          <w:szCs w:val="22"/>
        </w:rPr>
        <w:t>conducted biological and ecological research on the target and non-target species impacted by the fisheries and their ecosystem;</w:t>
      </w:r>
    </w:p>
    <w:p w:rsidR="00516EF6" w:rsidRPr="00C42F15" w:rsidRDefault="00516EF6" w:rsidP="00516EF6">
      <w:pPr>
        <w:numPr>
          <w:ilvl w:val="0"/>
          <w:numId w:val="5"/>
        </w:numPr>
        <w:snapToGrid w:val="0"/>
        <w:rPr>
          <w:sz w:val="22"/>
          <w:szCs w:val="22"/>
        </w:rPr>
      </w:pPr>
      <w:r w:rsidRPr="00C42F15">
        <w:rPr>
          <w:sz w:val="22"/>
          <w:szCs w:val="22"/>
        </w:rPr>
        <w:t xml:space="preserve">conducted regular stock assessments and associated analyses for highly migratory stocks of interest; </w:t>
      </w:r>
    </w:p>
    <w:p w:rsidR="00516EF6" w:rsidRPr="00C42F15" w:rsidRDefault="00516EF6" w:rsidP="00516EF6">
      <w:pPr>
        <w:numPr>
          <w:ilvl w:val="0"/>
          <w:numId w:val="5"/>
        </w:numPr>
        <w:snapToGrid w:val="0"/>
        <w:rPr>
          <w:sz w:val="22"/>
          <w:szCs w:val="22"/>
        </w:rPr>
      </w:pPr>
      <w:r w:rsidRPr="00C42F15">
        <w:rPr>
          <w:sz w:val="22"/>
          <w:szCs w:val="22"/>
        </w:rPr>
        <w:t>provided a forum for the exchange of knowledge of oceanic fisheries in the western and central Pacific Ocean through the precursor to the Scientific Committee, the Standing Committee on Tuna and Billfish, and thus has an established international and regional network of scientific collaborators; and</w:t>
      </w:r>
    </w:p>
    <w:p w:rsidR="00516EF6" w:rsidRPr="00C42F15" w:rsidRDefault="00516EF6" w:rsidP="00516EF6">
      <w:pPr>
        <w:numPr>
          <w:ilvl w:val="0"/>
          <w:numId w:val="5"/>
        </w:numPr>
        <w:snapToGrid w:val="0"/>
        <w:rPr>
          <w:sz w:val="22"/>
          <w:szCs w:val="22"/>
        </w:rPr>
      </w:pPr>
      <w:r w:rsidRPr="00C42F15">
        <w:rPr>
          <w:sz w:val="22"/>
          <w:szCs w:val="22"/>
        </w:rPr>
        <w:t>assisted SPC Member countries that are also Members of the Commission in the management of oceanic fisheries through the implementation of fishery monitoring and data management systems, the provision of scientific advice and the provision of national capacity building;</w:t>
      </w:r>
    </w:p>
    <w:p w:rsidR="00516EF6" w:rsidRPr="00C42F15" w:rsidRDefault="00516EF6" w:rsidP="00516EF6">
      <w:pPr>
        <w:snapToGrid w:val="0"/>
        <w:rPr>
          <w:b/>
          <w:sz w:val="22"/>
          <w:szCs w:val="22"/>
        </w:rPr>
      </w:pPr>
    </w:p>
    <w:p w:rsidR="00516EF6" w:rsidRPr="00C42F15" w:rsidRDefault="00516EF6" w:rsidP="00516EF6">
      <w:pPr>
        <w:snapToGrid w:val="0"/>
        <w:rPr>
          <w:b/>
          <w:sz w:val="22"/>
          <w:szCs w:val="22"/>
        </w:rPr>
      </w:pPr>
      <w:r w:rsidRPr="00C42F15">
        <w:rPr>
          <w:b/>
          <w:sz w:val="22"/>
          <w:szCs w:val="22"/>
        </w:rPr>
        <w:br w:type="page"/>
      </w:r>
      <w:r w:rsidRPr="00C42F15">
        <w:rPr>
          <w:b/>
          <w:sz w:val="22"/>
          <w:szCs w:val="22"/>
        </w:rPr>
        <w:lastRenderedPageBreak/>
        <w:t>Have agreed as follows:</w:t>
      </w:r>
    </w:p>
    <w:p w:rsidR="00516EF6" w:rsidRPr="00C42F15" w:rsidRDefault="00516EF6" w:rsidP="00516EF6">
      <w:pPr>
        <w:pStyle w:val="Heading2"/>
        <w:tabs>
          <w:tab w:val="num" w:pos="567"/>
        </w:tabs>
        <w:snapToGrid w:val="0"/>
        <w:ind w:left="567" w:hanging="567"/>
        <w:rPr>
          <w:sz w:val="22"/>
          <w:szCs w:val="22"/>
        </w:rPr>
      </w:pPr>
      <w:r w:rsidRPr="00C42F15">
        <w:rPr>
          <w:sz w:val="22"/>
          <w:szCs w:val="22"/>
        </w:rPr>
        <w:t>General cooperation</w:t>
      </w:r>
    </w:p>
    <w:p w:rsidR="00516EF6" w:rsidRPr="00C42F15" w:rsidRDefault="00516EF6" w:rsidP="00516EF6">
      <w:pPr>
        <w:tabs>
          <w:tab w:val="left" w:pos="540"/>
        </w:tabs>
        <w:snapToGrid w:val="0"/>
        <w:rPr>
          <w:sz w:val="22"/>
          <w:szCs w:val="22"/>
        </w:rPr>
      </w:pPr>
    </w:p>
    <w:p w:rsidR="00516EF6" w:rsidRPr="00C42F15" w:rsidRDefault="00516EF6" w:rsidP="00516EF6">
      <w:pPr>
        <w:tabs>
          <w:tab w:val="left" w:pos="540"/>
        </w:tabs>
        <w:snapToGrid w:val="0"/>
        <w:rPr>
          <w:sz w:val="22"/>
          <w:szCs w:val="22"/>
        </w:rPr>
      </w:pPr>
      <w:r w:rsidRPr="00C42F15">
        <w:rPr>
          <w:sz w:val="22"/>
          <w:szCs w:val="22"/>
        </w:rPr>
        <w:t>The Commission and the SPC agree to establish and maintain cooperation in respect of matters of common interest to the two organizations. In particular, the Commission and the SPC will:</w:t>
      </w:r>
    </w:p>
    <w:p w:rsidR="00516EF6" w:rsidRPr="00C42F15" w:rsidRDefault="00516EF6" w:rsidP="00516EF6">
      <w:pPr>
        <w:numPr>
          <w:ilvl w:val="0"/>
          <w:numId w:val="8"/>
        </w:numPr>
        <w:tabs>
          <w:tab w:val="clear" w:pos="567"/>
          <w:tab w:val="left" w:pos="540"/>
          <w:tab w:val="num" w:pos="1107"/>
        </w:tabs>
        <w:snapToGrid w:val="0"/>
        <w:ind w:left="1107"/>
        <w:rPr>
          <w:sz w:val="22"/>
          <w:szCs w:val="22"/>
        </w:rPr>
      </w:pPr>
      <w:r w:rsidRPr="00C42F15">
        <w:rPr>
          <w:sz w:val="22"/>
          <w:szCs w:val="22"/>
        </w:rPr>
        <w:t>encourage reciprocal participation in relevant meetings of each organization;</w:t>
      </w:r>
    </w:p>
    <w:p w:rsidR="00516EF6" w:rsidRPr="00C42F15" w:rsidRDefault="00516EF6" w:rsidP="00516EF6">
      <w:pPr>
        <w:numPr>
          <w:ilvl w:val="0"/>
          <w:numId w:val="8"/>
        </w:numPr>
        <w:tabs>
          <w:tab w:val="clear" w:pos="567"/>
          <w:tab w:val="left" w:pos="540"/>
          <w:tab w:val="num" w:pos="1107"/>
        </w:tabs>
        <w:snapToGrid w:val="0"/>
        <w:ind w:left="1107"/>
        <w:rPr>
          <w:sz w:val="22"/>
          <w:szCs w:val="22"/>
        </w:rPr>
      </w:pPr>
      <w:r w:rsidRPr="00C42F15">
        <w:rPr>
          <w:sz w:val="22"/>
          <w:szCs w:val="22"/>
        </w:rPr>
        <w:t>encourage the collaboration of national scientists in the scientific work undertaken by, or on behalf of, the Commission;</w:t>
      </w:r>
    </w:p>
    <w:p w:rsidR="00516EF6" w:rsidRPr="00C42F15" w:rsidRDefault="00516EF6" w:rsidP="00516EF6">
      <w:pPr>
        <w:numPr>
          <w:ilvl w:val="0"/>
          <w:numId w:val="8"/>
        </w:numPr>
        <w:tabs>
          <w:tab w:val="clear" w:pos="567"/>
          <w:tab w:val="left" w:pos="540"/>
          <w:tab w:val="num" w:pos="1107"/>
        </w:tabs>
        <w:snapToGrid w:val="0"/>
        <w:ind w:left="1107"/>
        <w:rPr>
          <w:sz w:val="22"/>
          <w:szCs w:val="22"/>
        </w:rPr>
      </w:pPr>
      <w:r w:rsidRPr="00C42F15">
        <w:rPr>
          <w:sz w:val="22"/>
          <w:szCs w:val="22"/>
        </w:rPr>
        <w:t>actively and regularly exchange relevant meeting reports, information, project plans, documents, and publications regarding matters of mutual interest, up to the limits allowed by the information-sharing policies agreed by each organization’s members; and</w:t>
      </w:r>
    </w:p>
    <w:p w:rsidR="00516EF6" w:rsidRPr="00C42F15" w:rsidRDefault="00516EF6" w:rsidP="00516EF6">
      <w:pPr>
        <w:numPr>
          <w:ilvl w:val="0"/>
          <w:numId w:val="8"/>
        </w:numPr>
        <w:tabs>
          <w:tab w:val="clear" w:pos="567"/>
          <w:tab w:val="left" w:pos="540"/>
          <w:tab w:val="num" w:pos="1107"/>
        </w:tabs>
        <w:snapToGrid w:val="0"/>
        <w:ind w:left="1107"/>
        <w:rPr>
          <w:sz w:val="22"/>
          <w:szCs w:val="22"/>
        </w:rPr>
      </w:pPr>
      <w:r w:rsidRPr="00C42F15">
        <w:rPr>
          <w:sz w:val="22"/>
          <w:szCs w:val="22"/>
        </w:rPr>
        <w:t>consult on a regular basis to enhance cooperation and minimize duplication.</w:t>
      </w:r>
    </w:p>
    <w:p w:rsidR="00516EF6" w:rsidRPr="00C42F15" w:rsidRDefault="00516EF6" w:rsidP="00516EF6">
      <w:pPr>
        <w:pStyle w:val="Heading2"/>
        <w:tabs>
          <w:tab w:val="num" w:pos="567"/>
        </w:tabs>
        <w:snapToGrid w:val="0"/>
        <w:ind w:left="567" w:hanging="567"/>
        <w:rPr>
          <w:sz w:val="22"/>
          <w:szCs w:val="22"/>
        </w:rPr>
      </w:pPr>
      <w:r w:rsidRPr="00C42F15">
        <w:rPr>
          <w:sz w:val="22"/>
          <w:szCs w:val="22"/>
        </w:rPr>
        <w:t>Provision of Scientific Services to the Commission by the SPC OFP</w:t>
      </w:r>
    </w:p>
    <w:p w:rsidR="00516EF6" w:rsidRPr="00C42F15" w:rsidRDefault="00516EF6" w:rsidP="00516EF6">
      <w:pPr>
        <w:snapToGrid w:val="0"/>
        <w:rPr>
          <w:sz w:val="22"/>
          <w:szCs w:val="22"/>
        </w:rPr>
      </w:pPr>
      <w:r w:rsidRPr="00C42F15">
        <w:rPr>
          <w:sz w:val="22"/>
          <w:szCs w:val="22"/>
        </w:rPr>
        <w:t xml:space="preserve">The SPC OFP will provide scientific services, in cooperation with other scientists, as appropriate, including those from Members of the Commission, as agreed in triennial Service Agreements, specific services of which shall be reviewed on an annual basis. Services may include, </w:t>
      </w:r>
      <w:r w:rsidRPr="00C42F15">
        <w:rPr>
          <w:i/>
          <w:sz w:val="22"/>
          <w:szCs w:val="22"/>
        </w:rPr>
        <w:t>inter alia</w:t>
      </w:r>
      <w:r w:rsidRPr="00C42F15">
        <w:rPr>
          <w:sz w:val="22"/>
          <w:szCs w:val="22"/>
        </w:rPr>
        <w:t>, the following:</w:t>
      </w:r>
    </w:p>
    <w:p w:rsidR="00516EF6" w:rsidRPr="00C42F15" w:rsidRDefault="00516EF6" w:rsidP="00516EF6">
      <w:pPr>
        <w:numPr>
          <w:ilvl w:val="0"/>
          <w:numId w:val="9"/>
        </w:numPr>
        <w:tabs>
          <w:tab w:val="clear" w:pos="567"/>
          <w:tab w:val="num" w:pos="1134"/>
        </w:tabs>
        <w:snapToGrid w:val="0"/>
        <w:ind w:left="1134"/>
        <w:rPr>
          <w:sz w:val="22"/>
          <w:szCs w:val="22"/>
        </w:rPr>
      </w:pPr>
      <w:r w:rsidRPr="00C42F15">
        <w:rPr>
          <w:sz w:val="22"/>
          <w:szCs w:val="22"/>
        </w:rPr>
        <w:t>data management services, including, as appropriate, the collection, compilation and dissemination of fisheries data according to agreed principles and procedures established by the Commission, data processing, and database development and maintenance, taking full account of the procedures and policies of both organizations relating to the confidentiality, disclosure and publication of data;</w:t>
      </w:r>
    </w:p>
    <w:p w:rsidR="00516EF6" w:rsidRPr="00C42F15" w:rsidRDefault="00516EF6" w:rsidP="00516EF6">
      <w:pPr>
        <w:numPr>
          <w:ilvl w:val="0"/>
          <w:numId w:val="9"/>
        </w:numPr>
        <w:tabs>
          <w:tab w:val="clear" w:pos="567"/>
          <w:tab w:val="num" w:pos="1134"/>
        </w:tabs>
        <w:snapToGrid w:val="0"/>
        <w:ind w:left="1134"/>
        <w:rPr>
          <w:sz w:val="22"/>
          <w:szCs w:val="22"/>
        </w:rPr>
      </w:pPr>
      <w:r w:rsidRPr="00C42F15">
        <w:rPr>
          <w:sz w:val="22"/>
          <w:szCs w:val="22"/>
        </w:rPr>
        <w:t>data summaries and analyses that the Commission may routinely require to carry out its functions;</w:t>
      </w:r>
    </w:p>
    <w:p w:rsidR="00516EF6" w:rsidRPr="00C42F15" w:rsidRDefault="00516EF6" w:rsidP="00516EF6">
      <w:pPr>
        <w:numPr>
          <w:ilvl w:val="0"/>
          <w:numId w:val="9"/>
        </w:numPr>
        <w:tabs>
          <w:tab w:val="clear" w:pos="567"/>
          <w:tab w:val="num" w:pos="1134"/>
        </w:tabs>
        <w:snapToGrid w:val="0"/>
        <w:ind w:left="1134"/>
        <w:rPr>
          <w:sz w:val="22"/>
          <w:szCs w:val="22"/>
        </w:rPr>
      </w:pPr>
      <w:r w:rsidRPr="00C42F15">
        <w:rPr>
          <w:sz w:val="22"/>
          <w:szCs w:val="22"/>
        </w:rPr>
        <w:t>other data summaries and analyses that the Commission may require from time to time;</w:t>
      </w:r>
    </w:p>
    <w:p w:rsidR="00516EF6" w:rsidRPr="00C42F15" w:rsidRDefault="00516EF6" w:rsidP="00516EF6">
      <w:pPr>
        <w:numPr>
          <w:ilvl w:val="0"/>
          <w:numId w:val="9"/>
        </w:numPr>
        <w:tabs>
          <w:tab w:val="clear" w:pos="567"/>
          <w:tab w:val="num" w:pos="1134"/>
        </w:tabs>
        <w:snapToGrid w:val="0"/>
        <w:ind w:left="1134"/>
        <w:rPr>
          <w:sz w:val="22"/>
          <w:szCs w:val="22"/>
        </w:rPr>
      </w:pPr>
      <w:r w:rsidRPr="00C42F15">
        <w:rPr>
          <w:sz w:val="22"/>
          <w:szCs w:val="22"/>
        </w:rPr>
        <w:t>regional stock assessments of key target and non-target species;</w:t>
      </w:r>
    </w:p>
    <w:p w:rsidR="00516EF6" w:rsidRPr="00C42F15" w:rsidRDefault="00516EF6" w:rsidP="00516EF6">
      <w:pPr>
        <w:numPr>
          <w:ilvl w:val="0"/>
          <w:numId w:val="9"/>
        </w:numPr>
        <w:tabs>
          <w:tab w:val="clear" w:pos="567"/>
          <w:tab w:val="num" w:pos="1134"/>
        </w:tabs>
        <w:snapToGrid w:val="0"/>
        <w:ind w:left="1134"/>
        <w:rPr>
          <w:sz w:val="22"/>
          <w:szCs w:val="22"/>
        </w:rPr>
      </w:pPr>
      <w:r w:rsidRPr="00C42F15">
        <w:rPr>
          <w:sz w:val="22"/>
          <w:szCs w:val="22"/>
        </w:rPr>
        <w:t>ecosystem analyses, including developing ecosystem modelling and application to management, ecological risk assessment and related work;</w:t>
      </w:r>
    </w:p>
    <w:p w:rsidR="00516EF6" w:rsidRPr="00C42F15" w:rsidRDefault="00516EF6" w:rsidP="00516EF6">
      <w:pPr>
        <w:numPr>
          <w:ilvl w:val="0"/>
          <w:numId w:val="9"/>
        </w:numPr>
        <w:tabs>
          <w:tab w:val="clear" w:pos="567"/>
          <w:tab w:val="num" w:pos="1134"/>
        </w:tabs>
        <w:snapToGrid w:val="0"/>
        <w:ind w:left="1134"/>
        <w:rPr>
          <w:sz w:val="22"/>
          <w:szCs w:val="22"/>
        </w:rPr>
      </w:pPr>
      <w:r w:rsidRPr="00C42F15">
        <w:rPr>
          <w:sz w:val="22"/>
          <w:szCs w:val="22"/>
        </w:rPr>
        <w:t xml:space="preserve">scientific evaluation of potential management options, agreed conservation and management measures and related work; </w:t>
      </w:r>
    </w:p>
    <w:p w:rsidR="00516EF6" w:rsidRPr="00C42F15" w:rsidRDefault="00516EF6" w:rsidP="00516EF6">
      <w:pPr>
        <w:numPr>
          <w:ilvl w:val="0"/>
          <w:numId w:val="9"/>
        </w:numPr>
        <w:tabs>
          <w:tab w:val="clear" w:pos="567"/>
          <w:tab w:val="num" w:pos="1134"/>
        </w:tabs>
        <w:snapToGrid w:val="0"/>
        <w:ind w:left="1134"/>
        <w:rPr>
          <w:sz w:val="22"/>
          <w:szCs w:val="22"/>
        </w:rPr>
      </w:pPr>
      <w:r w:rsidRPr="00C42F15">
        <w:rPr>
          <w:sz w:val="22"/>
          <w:szCs w:val="22"/>
        </w:rPr>
        <w:t>scientific advice in relation to the implementation of the Commission’s vessel monitoring system, regional observer programme or other initiatives relating to fishing gear and technology, as appropriate; and</w:t>
      </w:r>
    </w:p>
    <w:p w:rsidR="00516EF6" w:rsidRPr="00C42F15" w:rsidRDefault="00516EF6" w:rsidP="00516EF6">
      <w:pPr>
        <w:numPr>
          <w:ilvl w:val="0"/>
          <w:numId w:val="9"/>
        </w:numPr>
        <w:tabs>
          <w:tab w:val="clear" w:pos="567"/>
          <w:tab w:val="num" w:pos="1134"/>
        </w:tabs>
        <w:snapToGrid w:val="0"/>
        <w:ind w:left="1134"/>
        <w:rPr>
          <w:sz w:val="22"/>
          <w:szCs w:val="22"/>
        </w:rPr>
      </w:pPr>
      <w:r w:rsidRPr="00C42F15">
        <w:rPr>
          <w:sz w:val="22"/>
          <w:szCs w:val="22"/>
        </w:rPr>
        <w:t>design and implementation of biological, ecological or stock assessment research programmes requested by the Commission, including collaborative research programmes with other regional fishery management organizations.</w:t>
      </w:r>
    </w:p>
    <w:p w:rsidR="00516EF6" w:rsidRPr="00C42F15" w:rsidRDefault="00516EF6" w:rsidP="00516EF6">
      <w:pPr>
        <w:pStyle w:val="Heading2"/>
        <w:tabs>
          <w:tab w:val="num" w:pos="567"/>
        </w:tabs>
        <w:snapToGrid w:val="0"/>
        <w:ind w:left="567" w:hanging="567"/>
        <w:rPr>
          <w:sz w:val="22"/>
          <w:szCs w:val="22"/>
        </w:rPr>
      </w:pPr>
      <w:r w:rsidRPr="00C42F15">
        <w:rPr>
          <w:sz w:val="22"/>
          <w:szCs w:val="22"/>
        </w:rPr>
        <w:t xml:space="preserve">Provision of Assistance to Commission Members </w:t>
      </w:r>
    </w:p>
    <w:p w:rsidR="00516EF6" w:rsidRPr="00C42F15" w:rsidRDefault="00516EF6" w:rsidP="00516EF6">
      <w:pPr>
        <w:snapToGrid w:val="0"/>
        <w:rPr>
          <w:sz w:val="22"/>
          <w:szCs w:val="22"/>
        </w:rPr>
      </w:pPr>
      <w:r w:rsidRPr="00C42F15">
        <w:rPr>
          <w:sz w:val="22"/>
          <w:szCs w:val="22"/>
        </w:rPr>
        <w:t xml:space="preserve">In support of Article 30 of the Convention on the Conservation and Management of Highly Migratory Fish Stocks in the Western and Central Pacific Ocean, the SPC will provide assistance to its Pacific Island Members to enhance their participation in the work of the Commission. Assistance may include, </w:t>
      </w:r>
      <w:r w:rsidRPr="00C42F15">
        <w:rPr>
          <w:i/>
          <w:sz w:val="22"/>
          <w:szCs w:val="22"/>
        </w:rPr>
        <w:t>inter alia</w:t>
      </w:r>
      <w:r w:rsidRPr="00C42F15">
        <w:rPr>
          <w:sz w:val="22"/>
          <w:szCs w:val="22"/>
        </w:rPr>
        <w:t>:</w:t>
      </w:r>
    </w:p>
    <w:p w:rsidR="00516EF6" w:rsidRPr="00C42F15" w:rsidRDefault="00516EF6" w:rsidP="00516EF6">
      <w:pPr>
        <w:numPr>
          <w:ilvl w:val="0"/>
          <w:numId w:val="6"/>
        </w:numPr>
        <w:tabs>
          <w:tab w:val="clear" w:pos="567"/>
          <w:tab w:val="num" w:pos="1134"/>
        </w:tabs>
        <w:snapToGrid w:val="0"/>
        <w:ind w:left="1134"/>
        <w:rPr>
          <w:sz w:val="22"/>
          <w:szCs w:val="22"/>
        </w:rPr>
      </w:pPr>
      <w:r w:rsidRPr="00C42F15">
        <w:rPr>
          <w:sz w:val="22"/>
          <w:szCs w:val="22"/>
        </w:rPr>
        <w:t>assistance in monitoring the fishing activities of national fleets and foreign fleets fishing within Pacific Island exclusive economic zones;</w:t>
      </w:r>
    </w:p>
    <w:p w:rsidR="00516EF6" w:rsidRPr="00C42F15" w:rsidRDefault="00516EF6" w:rsidP="00516EF6">
      <w:pPr>
        <w:numPr>
          <w:ilvl w:val="0"/>
          <w:numId w:val="6"/>
        </w:numPr>
        <w:tabs>
          <w:tab w:val="clear" w:pos="567"/>
          <w:tab w:val="num" w:pos="1134"/>
        </w:tabs>
        <w:snapToGrid w:val="0"/>
        <w:ind w:left="1134"/>
        <w:rPr>
          <w:sz w:val="22"/>
          <w:szCs w:val="22"/>
        </w:rPr>
      </w:pPr>
      <w:r w:rsidRPr="00C42F15">
        <w:rPr>
          <w:sz w:val="22"/>
          <w:szCs w:val="22"/>
        </w:rPr>
        <w:t>assistance in data management, and in particular in satisfying the data reporting obligations to the Commission;</w:t>
      </w:r>
    </w:p>
    <w:p w:rsidR="00516EF6" w:rsidRPr="00C42F15" w:rsidRDefault="00516EF6" w:rsidP="00516EF6">
      <w:pPr>
        <w:numPr>
          <w:ilvl w:val="0"/>
          <w:numId w:val="6"/>
        </w:numPr>
        <w:tabs>
          <w:tab w:val="clear" w:pos="567"/>
          <w:tab w:val="num" w:pos="1134"/>
        </w:tabs>
        <w:snapToGrid w:val="0"/>
        <w:ind w:left="1134"/>
        <w:rPr>
          <w:sz w:val="22"/>
          <w:szCs w:val="22"/>
        </w:rPr>
      </w:pPr>
      <w:r w:rsidRPr="00C42F15">
        <w:rPr>
          <w:sz w:val="22"/>
          <w:szCs w:val="22"/>
        </w:rPr>
        <w:t>auditing of national fishery monitoring and data management systems;</w:t>
      </w:r>
    </w:p>
    <w:p w:rsidR="00516EF6" w:rsidRPr="00C42F15" w:rsidRDefault="00516EF6" w:rsidP="00516EF6">
      <w:pPr>
        <w:numPr>
          <w:ilvl w:val="0"/>
          <w:numId w:val="6"/>
        </w:numPr>
        <w:tabs>
          <w:tab w:val="clear" w:pos="567"/>
          <w:tab w:val="num" w:pos="1134"/>
        </w:tabs>
        <w:snapToGrid w:val="0"/>
        <w:ind w:left="1134"/>
        <w:rPr>
          <w:sz w:val="22"/>
          <w:szCs w:val="22"/>
        </w:rPr>
      </w:pPr>
      <w:r w:rsidRPr="00C42F15">
        <w:rPr>
          <w:sz w:val="22"/>
          <w:szCs w:val="22"/>
        </w:rPr>
        <w:t>assistance in the interpretation of scientific information being provided to the Commission;</w:t>
      </w:r>
    </w:p>
    <w:p w:rsidR="00516EF6" w:rsidRPr="00C42F15" w:rsidRDefault="00516EF6" w:rsidP="00516EF6">
      <w:pPr>
        <w:numPr>
          <w:ilvl w:val="0"/>
          <w:numId w:val="6"/>
        </w:numPr>
        <w:tabs>
          <w:tab w:val="clear" w:pos="567"/>
          <w:tab w:val="num" w:pos="1134"/>
        </w:tabs>
        <w:snapToGrid w:val="0"/>
        <w:ind w:left="1134"/>
        <w:rPr>
          <w:sz w:val="22"/>
          <w:szCs w:val="22"/>
        </w:rPr>
      </w:pPr>
      <w:r w:rsidRPr="00C42F15">
        <w:rPr>
          <w:sz w:val="22"/>
          <w:szCs w:val="22"/>
        </w:rPr>
        <w:lastRenderedPageBreak/>
        <w:t>scientific advice for the management of national fisheries consistent with the objectives of the Commission; and</w:t>
      </w:r>
    </w:p>
    <w:p w:rsidR="00516EF6" w:rsidRPr="00C42F15" w:rsidRDefault="00516EF6" w:rsidP="00516EF6">
      <w:pPr>
        <w:numPr>
          <w:ilvl w:val="0"/>
          <w:numId w:val="6"/>
        </w:numPr>
        <w:tabs>
          <w:tab w:val="clear" w:pos="567"/>
          <w:tab w:val="num" w:pos="1134"/>
        </w:tabs>
        <w:snapToGrid w:val="0"/>
        <w:ind w:left="1134"/>
        <w:rPr>
          <w:sz w:val="22"/>
          <w:szCs w:val="22"/>
        </w:rPr>
      </w:pPr>
      <w:r w:rsidRPr="00C42F15">
        <w:rPr>
          <w:sz w:val="22"/>
          <w:szCs w:val="22"/>
        </w:rPr>
        <w:t>assistance in the implementation of management measures adopted by the Commission.</w:t>
      </w:r>
    </w:p>
    <w:p w:rsidR="00516EF6" w:rsidRPr="00C42F15" w:rsidRDefault="00516EF6" w:rsidP="00516EF6">
      <w:pPr>
        <w:pStyle w:val="Heading2"/>
        <w:tabs>
          <w:tab w:val="num" w:pos="567"/>
        </w:tabs>
        <w:snapToGrid w:val="0"/>
        <w:ind w:left="567" w:hanging="567"/>
        <w:rPr>
          <w:sz w:val="22"/>
          <w:szCs w:val="22"/>
        </w:rPr>
      </w:pPr>
      <w:r w:rsidRPr="00C42F15">
        <w:rPr>
          <w:sz w:val="22"/>
          <w:szCs w:val="22"/>
        </w:rPr>
        <w:t>Financial Support</w:t>
      </w:r>
    </w:p>
    <w:p w:rsidR="00516EF6" w:rsidRPr="00C42F15" w:rsidRDefault="00516EF6" w:rsidP="00516EF6">
      <w:pPr>
        <w:snapToGrid w:val="0"/>
        <w:rPr>
          <w:sz w:val="22"/>
          <w:szCs w:val="22"/>
        </w:rPr>
      </w:pPr>
      <w:r w:rsidRPr="00C42F15">
        <w:rPr>
          <w:sz w:val="22"/>
          <w:szCs w:val="22"/>
        </w:rPr>
        <w:t xml:space="preserve">The Commission will provide financial support for the provision of scientific services and for the provision of assistance to Commission Members as agreed in this Service Agreement. </w:t>
      </w:r>
    </w:p>
    <w:p w:rsidR="00516EF6" w:rsidRPr="00C42F15" w:rsidRDefault="00516EF6" w:rsidP="00516EF6">
      <w:pPr>
        <w:snapToGrid w:val="0"/>
        <w:rPr>
          <w:sz w:val="22"/>
          <w:szCs w:val="22"/>
        </w:rPr>
      </w:pPr>
      <w:r w:rsidRPr="00C42F15">
        <w:rPr>
          <w:sz w:val="22"/>
          <w:szCs w:val="22"/>
        </w:rPr>
        <w:t>In respect of assistance to Pacific Island Commission Members, such assistance will normally be provided by SPC funding sources, or from the Commission’s Special Requirements Fund, subject to procedures agreed by the Commission governing the use of that Fund and to the Commission’s strategy for capacity building and operationalizing Article 30 of the Convention.  Where assistance is to be funded from the Commission’s Special Requirements Fund, this shall be included in the Service Agreement. In special circumstances, assistance may also be requested for non-Pacific Island Commission Members. Such assistance will be funded by the Commission (in which case it will be detailed in the Service Agreement) or directly by the countries concerned.</w:t>
      </w:r>
    </w:p>
    <w:p w:rsidR="00516EF6" w:rsidRPr="00C42F15" w:rsidRDefault="00516EF6" w:rsidP="00516EF6">
      <w:pPr>
        <w:pStyle w:val="Heading2"/>
        <w:tabs>
          <w:tab w:val="num" w:pos="567"/>
        </w:tabs>
        <w:snapToGrid w:val="0"/>
        <w:ind w:left="567" w:hanging="567"/>
        <w:rPr>
          <w:sz w:val="22"/>
          <w:szCs w:val="22"/>
        </w:rPr>
      </w:pPr>
      <w:r w:rsidRPr="00C42F15">
        <w:rPr>
          <w:sz w:val="22"/>
          <w:szCs w:val="22"/>
        </w:rPr>
        <w:t>General Administrative Arrangements</w:t>
      </w:r>
    </w:p>
    <w:p w:rsidR="00516EF6" w:rsidRPr="00C42F15" w:rsidRDefault="00516EF6" w:rsidP="00516EF6">
      <w:pPr>
        <w:rPr>
          <w:sz w:val="22"/>
          <w:szCs w:val="22"/>
        </w:rPr>
      </w:pPr>
    </w:p>
    <w:p w:rsidR="00516EF6" w:rsidRPr="00C42F15" w:rsidRDefault="00516EF6" w:rsidP="00516EF6">
      <w:pPr>
        <w:numPr>
          <w:ilvl w:val="0"/>
          <w:numId w:val="7"/>
        </w:numPr>
        <w:tabs>
          <w:tab w:val="clear" w:pos="567"/>
          <w:tab w:val="num" w:pos="1134"/>
        </w:tabs>
        <w:snapToGrid w:val="0"/>
        <w:ind w:left="1134"/>
        <w:rPr>
          <w:sz w:val="22"/>
          <w:szCs w:val="22"/>
        </w:rPr>
      </w:pPr>
      <w:r w:rsidRPr="00C42F15">
        <w:rPr>
          <w:sz w:val="22"/>
          <w:szCs w:val="22"/>
        </w:rPr>
        <w:t>This MOU becomes effective upon the date of signature of the responsible representatives of both Parties.</w:t>
      </w:r>
    </w:p>
    <w:p w:rsidR="00516EF6" w:rsidRPr="00C42F15" w:rsidRDefault="00516EF6" w:rsidP="00516EF6">
      <w:pPr>
        <w:numPr>
          <w:ilvl w:val="0"/>
          <w:numId w:val="7"/>
        </w:numPr>
        <w:tabs>
          <w:tab w:val="clear" w:pos="567"/>
          <w:tab w:val="num" w:pos="1134"/>
        </w:tabs>
        <w:snapToGrid w:val="0"/>
        <w:ind w:left="1134"/>
        <w:rPr>
          <w:sz w:val="22"/>
          <w:szCs w:val="22"/>
        </w:rPr>
      </w:pPr>
      <w:r w:rsidRPr="00C42F15">
        <w:rPr>
          <w:sz w:val="22"/>
          <w:szCs w:val="22"/>
        </w:rPr>
        <w:t>This MOU may be modified by written consent of the responsible representatives of both Parties. The modified MOU becomes effective upon the date of signature of such consent.</w:t>
      </w:r>
    </w:p>
    <w:p w:rsidR="00516EF6" w:rsidRPr="00C42F15" w:rsidRDefault="00516EF6" w:rsidP="00516EF6">
      <w:pPr>
        <w:numPr>
          <w:ilvl w:val="0"/>
          <w:numId w:val="7"/>
        </w:numPr>
        <w:tabs>
          <w:tab w:val="clear" w:pos="567"/>
          <w:tab w:val="num" w:pos="1134"/>
        </w:tabs>
        <w:snapToGrid w:val="0"/>
        <w:ind w:left="1134"/>
        <w:rPr>
          <w:sz w:val="22"/>
          <w:szCs w:val="22"/>
        </w:rPr>
      </w:pPr>
      <w:r w:rsidRPr="00C42F15">
        <w:rPr>
          <w:sz w:val="22"/>
          <w:szCs w:val="22"/>
        </w:rPr>
        <w:t>If any dispute should arise between the Parties on the operation of this MOU, the Parties will make every effort to resolve the dispute themselves, or if necessary, by utilizing a mutually-acceptable arbiter.</w:t>
      </w:r>
    </w:p>
    <w:p w:rsidR="00516EF6" w:rsidRPr="00C42F15" w:rsidRDefault="00516EF6" w:rsidP="00516EF6">
      <w:pPr>
        <w:numPr>
          <w:ilvl w:val="0"/>
          <w:numId w:val="7"/>
        </w:numPr>
        <w:tabs>
          <w:tab w:val="clear" w:pos="567"/>
          <w:tab w:val="num" w:pos="1134"/>
        </w:tabs>
        <w:snapToGrid w:val="0"/>
        <w:ind w:left="1134"/>
        <w:rPr>
          <w:sz w:val="22"/>
          <w:szCs w:val="22"/>
        </w:rPr>
      </w:pPr>
      <w:r w:rsidRPr="00C42F15">
        <w:rPr>
          <w:sz w:val="22"/>
          <w:szCs w:val="22"/>
        </w:rPr>
        <w:t>Either Party may terminate this MOU by providing written notice to the other of its intention to withdraw from the MOU. Termination shall be effective on 31 December of the year in which such notice is given, or 90 days following such notice, whichever is later. Upon termination of the MOU, any uncommitted funds provided for scientific services and assistance shall be refunded to the Commission.</w:t>
      </w:r>
    </w:p>
    <w:p w:rsidR="00516EF6" w:rsidRPr="00C42F15" w:rsidRDefault="00516EF6" w:rsidP="00516EF6">
      <w:pPr>
        <w:numPr>
          <w:ilvl w:val="0"/>
          <w:numId w:val="7"/>
        </w:numPr>
        <w:tabs>
          <w:tab w:val="clear" w:pos="567"/>
          <w:tab w:val="num" w:pos="1134"/>
        </w:tabs>
        <w:snapToGrid w:val="0"/>
        <w:ind w:left="1134"/>
        <w:rPr>
          <w:sz w:val="22"/>
          <w:szCs w:val="22"/>
        </w:rPr>
      </w:pPr>
      <w:r w:rsidRPr="00C42F15">
        <w:rPr>
          <w:sz w:val="22"/>
          <w:szCs w:val="22"/>
        </w:rPr>
        <w:t>A full review of the terms and operation of this MOU and its Annexes will be conducted in concert with any review of the scientific structure and functions of the Commission.</w:t>
      </w:r>
    </w:p>
    <w:p w:rsidR="00516EF6" w:rsidRPr="00C42F15" w:rsidRDefault="00516EF6" w:rsidP="00516EF6">
      <w:pPr>
        <w:pStyle w:val="Heading2"/>
        <w:tabs>
          <w:tab w:val="num" w:pos="567"/>
        </w:tabs>
        <w:snapToGrid w:val="0"/>
        <w:ind w:left="567" w:hanging="567"/>
        <w:rPr>
          <w:sz w:val="22"/>
          <w:szCs w:val="22"/>
        </w:rPr>
      </w:pPr>
      <w:r w:rsidRPr="00C42F15">
        <w:rPr>
          <w:sz w:val="22"/>
          <w:szCs w:val="22"/>
        </w:rPr>
        <w:t>Signature</w:t>
      </w:r>
    </w:p>
    <w:p w:rsidR="00516EF6" w:rsidRPr="00C42F15" w:rsidRDefault="00516EF6" w:rsidP="00516EF6">
      <w:pPr>
        <w:snapToGrid w:val="0"/>
        <w:rPr>
          <w:sz w:val="22"/>
          <w:szCs w:val="22"/>
        </w:rPr>
      </w:pPr>
    </w:p>
    <w:p w:rsidR="00516EF6" w:rsidRPr="00C42F15" w:rsidRDefault="00516EF6" w:rsidP="00516EF6">
      <w:pPr>
        <w:snapToGrid w:val="0"/>
        <w:rPr>
          <w:sz w:val="22"/>
          <w:szCs w:val="22"/>
        </w:rPr>
      </w:pPr>
      <w:r w:rsidRPr="00C42F15">
        <w:rPr>
          <w:sz w:val="22"/>
          <w:szCs w:val="22"/>
        </w:rPr>
        <w:t>Signed on behalf of the Western and Central Pacific Fisheries Commission and the Secretariat of the Pacific Community:</w:t>
      </w:r>
    </w:p>
    <w:p w:rsidR="00516EF6" w:rsidRPr="00C42F15" w:rsidRDefault="00516EF6" w:rsidP="00516EF6">
      <w:pPr>
        <w:snapToGrid w:val="0"/>
        <w:rPr>
          <w:sz w:val="22"/>
          <w:szCs w:val="22"/>
        </w:rPr>
      </w:pPr>
    </w:p>
    <w:tbl>
      <w:tblPr>
        <w:tblW w:w="0" w:type="auto"/>
        <w:tblBorders>
          <w:insideH w:val="single" w:sz="4" w:space="0" w:color="auto"/>
        </w:tblBorders>
        <w:tblLook w:val="04A0"/>
      </w:tblPr>
      <w:tblGrid>
        <w:gridCol w:w="3888"/>
        <w:gridCol w:w="810"/>
        <w:gridCol w:w="4158"/>
      </w:tblGrid>
      <w:tr w:rsidR="00516EF6" w:rsidRPr="00C42F15" w:rsidTr="00DB7515">
        <w:tc>
          <w:tcPr>
            <w:tcW w:w="3888" w:type="dxa"/>
          </w:tcPr>
          <w:p w:rsidR="00516EF6" w:rsidRPr="00C42F15" w:rsidRDefault="00516EF6" w:rsidP="00DB7515">
            <w:pPr>
              <w:snapToGrid w:val="0"/>
            </w:pPr>
          </w:p>
          <w:p w:rsidR="00516EF6" w:rsidRPr="00C42F15" w:rsidRDefault="00516EF6" w:rsidP="00DB7515">
            <w:pPr>
              <w:snapToGrid w:val="0"/>
            </w:pPr>
          </w:p>
          <w:p w:rsidR="00516EF6" w:rsidRPr="00C42F15" w:rsidRDefault="00516EF6" w:rsidP="00DB7515">
            <w:pPr>
              <w:snapToGrid w:val="0"/>
            </w:pPr>
          </w:p>
          <w:p w:rsidR="00516EF6" w:rsidRPr="00C42F15" w:rsidRDefault="00516EF6" w:rsidP="00DB7515">
            <w:pPr>
              <w:snapToGrid w:val="0"/>
            </w:pPr>
          </w:p>
          <w:p w:rsidR="00516EF6" w:rsidRPr="00C42F15" w:rsidRDefault="00516EF6" w:rsidP="00DB7515">
            <w:pPr>
              <w:snapToGrid w:val="0"/>
            </w:pPr>
          </w:p>
          <w:p w:rsidR="00516EF6" w:rsidRPr="00C42F15" w:rsidRDefault="00516EF6" w:rsidP="00DB7515">
            <w:pPr>
              <w:snapToGrid w:val="0"/>
            </w:pPr>
          </w:p>
          <w:p w:rsidR="00516EF6" w:rsidRPr="00C42F15" w:rsidRDefault="00516EF6" w:rsidP="00DB7515">
            <w:pPr>
              <w:snapToGrid w:val="0"/>
            </w:pPr>
          </w:p>
        </w:tc>
        <w:tc>
          <w:tcPr>
            <w:tcW w:w="810" w:type="dxa"/>
            <w:tcBorders>
              <w:top w:val="nil"/>
              <w:bottom w:val="nil"/>
            </w:tcBorders>
          </w:tcPr>
          <w:p w:rsidR="00516EF6" w:rsidRPr="00C42F15" w:rsidRDefault="00516EF6" w:rsidP="00DB7515">
            <w:pPr>
              <w:snapToGrid w:val="0"/>
            </w:pPr>
          </w:p>
        </w:tc>
        <w:tc>
          <w:tcPr>
            <w:tcW w:w="4158" w:type="dxa"/>
          </w:tcPr>
          <w:p w:rsidR="00516EF6" w:rsidRPr="00C42F15" w:rsidRDefault="00516EF6" w:rsidP="00DB7515">
            <w:pPr>
              <w:snapToGrid w:val="0"/>
            </w:pPr>
          </w:p>
        </w:tc>
      </w:tr>
      <w:tr w:rsidR="00516EF6" w:rsidRPr="00C42F15" w:rsidTr="00DB7515">
        <w:tc>
          <w:tcPr>
            <w:tcW w:w="3888" w:type="dxa"/>
          </w:tcPr>
          <w:p w:rsidR="00516EF6" w:rsidRPr="00C42F15" w:rsidRDefault="00516EF6" w:rsidP="00DB7515">
            <w:pPr>
              <w:snapToGrid w:val="0"/>
            </w:pPr>
            <w:r w:rsidRPr="00C42F15">
              <w:rPr>
                <w:sz w:val="22"/>
                <w:szCs w:val="22"/>
              </w:rPr>
              <w:t>Andrew Wright</w:t>
            </w:r>
          </w:p>
          <w:p w:rsidR="00516EF6" w:rsidRPr="00C42F15" w:rsidRDefault="00516EF6" w:rsidP="00DB7515">
            <w:pPr>
              <w:snapToGrid w:val="0"/>
            </w:pPr>
            <w:r w:rsidRPr="00C42F15">
              <w:rPr>
                <w:sz w:val="22"/>
                <w:szCs w:val="22"/>
              </w:rPr>
              <w:t>Executive Director, WCPFC</w:t>
            </w:r>
          </w:p>
          <w:p w:rsidR="00516EF6" w:rsidRPr="00C42F15" w:rsidRDefault="00516EF6" w:rsidP="00DB7515">
            <w:pPr>
              <w:snapToGrid w:val="0"/>
            </w:pPr>
            <w:r w:rsidRPr="00C42F15">
              <w:rPr>
                <w:sz w:val="22"/>
                <w:szCs w:val="22"/>
              </w:rPr>
              <w:t xml:space="preserve">Date: </w:t>
            </w:r>
            <w:r w:rsidR="003314D1" w:rsidRPr="00C42F15">
              <w:rPr>
                <w:sz w:val="22"/>
                <w:szCs w:val="22"/>
              </w:rPr>
              <w:t>4 March 2010</w:t>
            </w:r>
          </w:p>
        </w:tc>
        <w:tc>
          <w:tcPr>
            <w:tcW w:w="810" w:type="dxa"/>
            <w:tcBorders>
              <w:top w:val="nil"/>
              <w:bottom w:val="nil"/>
            </w:tcBorders>
          </w:tcPr>
          <w:p w:rsidR="00516EF6" w:rsidRPr="00C42F15" w:rsidRDefault="00516EF6" w:rsidP="00DB7515">
            <w:pPr>
              <w:snapToGrid w:val="0"/>
            </w:pPr>
          </w:p>
        </w:tc>
        <w:tc>
          <w:tcPr>
            <w:tcW w:w="4158" w:type="dxa"/>
          </w:tcPr>
          <w:p w:rsidR="00516EF6" w:rsidRPr="00C42F15" w:rsidRDefault="00516EF6" w:rsidP="00DB7515">
            <w:pPr>
              <w:snapToGrid w:val="0"/>
            </w:pPr>
            <w:r w:rsidRPr="00C42F15">
              <w:rPr>
                <w:sz w:val="22"/>
                <w:szCs w:val="22"/>
              </w:rPr>
              <w:t xml:space="preserve">Dr Jimmie Rodgers </w:t>
            </w:r>
          </w:p>
          <w:p w:rsidR="00516EF6" w:rsidRPr="00C42F15" w:rsidRDefault="00516EF6" w:rsidP="00DB7515">
            <w:pPr>
              <w:snapToGrid w:val="0"/>
            </w:pPr>
            <w:r w:rsidRPr="00C42F15">
              <w:rPr>
                <w:sz w:val="22"/>
                <w:szCs w:val="22"/>
              </w:rPr>
              <w:t>Director-General, SPC</w:t>
            </w:r>
          </w:p>
          <w:p w:rsidR="00516EF6" w:rsidRPr="00C42F15" w:rsidRDefault="00516EF6" w:rsidP="00DB7515">
            <w:pPr>
              <w:snapToGrid w:val="0"/>
            </w:pPr>
            <w:r w:rsidRPr="00C42F15">
              <w:rPr>
                <w:sz w:val="22"/>
                <w:szCs w:val="22"/>
              </w:rPr>
              <w:t>Date:</w:t>
            </w:r>
            <w:r w:rsidR="003314D1" w:rsidRPr="00C42F15">
              <w:rPr>
                <w:sz w:val="22"/>
                <w:szCs w:val="22"/>
              </w:rPr>
              <w:t xml:space="preserve"> 4 March 2010</w:t>
            </w:r>
          </w:p>
        </w:tc>
      </w:tr>
    </w:tbl>
    <w:p w:rsidR="00516EF6" w:rsidRPr="00C42F15" w:rsidRDefault="00516EF6" w:rsidP="00516EF6">
      <w:pPr>
        <w:snapToGrid w:val="0"/>
        <w:rPr>
          <w:sz w:val="22"/>
          <w:szCs w:val="22"/>
        </w:rPr>
      </w:pPr>
    </w:p>
    <w:p w:rsidR="00516EF6" w:rsidRPr="00C42F15" w:rsidRDefault="00516EF6" w:rsidP="00516EF6">
      <w:pPr>
        <w:snapToGrid w:val="0"/>
        <w:rPr>
          <w:sz w:val="22"/>
          <w:szCs w:val="22"/>
        </w:rPr>
      </w:pPr>
    </w:p>
    <w:p w:rsidR="00516EF6" w:rsidRPr="00C42F15" w:rsidRDefault="00516EF6" w:rsidP="00516EF6">
      <w:pPr>
        <w:pStyle w:val="Heading1"/>
        <w:tabs>
          <w:tab w:val="left" w:pos="1620"/>
        </w:tabs>
        <w:snapToGrid w:val="0"/>
        <w:rPr>
          <w:sz w:val="22"/>
          <w:szCs w:val="22"/>
        </w:rPr>
        <w:sectPr w:rsidR="00516EF6" w:rsidRPr="00C42F15" w:rsidSect="00516EF6">
          <w:footerReference w:type="default" r:id="rId7"/>
          <w:pgSz w:w="12240" w:h="15840"/>
          <w:pgMar w:top="1152" w:right="1440" w:bottom="1152" w:left="1440" w:header="706" w:footer="706" w:gutter="0"/>
          <w:cols w:space="708"/>
          <w:docGrid w:linePitch="360"/>
        </w:sectPr>
      </w:pPr>
    </w:p>
    <w:p w:rsidR="00516EF6" w:rsidRPr="00C42F15" w:rsidRDefault="00516EF6" w:rsidP="003314D1">
      <w:pPr>
        <w:pStyle w:val="Heading1"/>
        <w:tabs>
          <w:tab w:val="left" w:pos="1620"/>
        </w:tabs>
        <w:snapToGrid w:val="0"/>
        <w:spacing w:before="0" w:after="0"/>
        <w:rPr>
          <w:sz w:val="22"/>
          <w:szCs w:val="22"/>
        </w:rPr>
      </w:pPr>
      <w:r w:rsidRPr="00C42F15">
        <w:rPr>
          <w:sz w:val="22"/>
          <w:szCs w:val="22"/>
        </w:rPr>
        <w:lastRenderedPageBreak/>
        <w:t>ANNEX I</w:t>
      </w:r>
      <w:r w:rsidRPr="00C42F15">
        <w:rPr>
          <w:sz w:val="22"/>
          <w:szCs w:val="22"/>
        </w:rPr>
        <w:tab/>
      </w:r>
    </w:p>
    <w:p w:rsidR="00516EF6" w:rsidRPr="00C42F15" w:rsidRDefault="00516EF6" w:rsidP="003314D1">
      <w:pPr>
        <w:pStyle w:val="Heading1"/>
        <w:tabs>
          <w:tab w:val="left" w:pos="1620"/>
        </w:tabs>
        <w:snapToGrid w:val="0"/>
        <w:spacing w:before="0" w:after="0"/>
        <w:rPr>
          <w:sz w:val="22"/>
          <w:szCs w:val="22"/>
        </w:rPr>
      </w:pPr>
      <w:r w:rsidRPr="00C42F15">
        <w:rPr>
          <w:sz w:val="22"/>
          <w:szCs w:val="22"/>
        </w:rPr>
        <w:t xml:space="preserve">Agreement for the Provision of Scientific Services to the </w:t>
      </w:r>
    </w:p>
    <w:p w:rsidR="00516EF6" w:rsidRPr="00C42F15" w:rsidRDefault="00516EF6" w:rsidP="003314D1">
      <w:pPr>
        <w:pStyle w:val="Heading1"/>
        <w:tabs>
          <w:tab w:val="left" w:pos="1620"/>
        </w:tabs>
        <w:snapToGrid w:val="0"/>
        <w:spacing w:before="0" w:after="0"/>
        <w:rPr>
          <w:sz w:val="22"/>
          <w:szCs w:val="22"/>
        </w:rPr>
      </w:pPr>
      <w:r w:rsidRPr="00C42F15">
        <w:rPr>
          <w:sz w:val="22"/>
          <w:szCs w:val="22"/>
        </w:rPr>
        <w:t>Commission and Assistance to Members by the Secretariat of the Pacific Community</w:t>
      </w:r>
    </w:p>
    <w:p w:rsidR="00516EF6" w:rsidRPr="00C42F15" w:rsidRDefault="00516EF6" w:rsidP="003314D1">
      <w:pPr>
        <w:snapToGrid w:val="0"/>
        <w:rPr>
          <w:sz w:val="22"/>
          <w:szCs w:val="22"/>
        </w:rPr>
      </w:pPr>
    </w:p>
    <w:p w:rsidR="00516EF6" w:rsidRPr="00C42F15" w:rsidRDefault="00516EF6" w:rsidP="003314D1">
      <w:pPr>
        <w:pStyle w:val="Heading2"/>
        <w:keepNext/>
        <w:numPr>
          <w:ilvl w:val="0"/>
          <w:numId w:val="15"/>
        </w:numPr>
        <w:suppressAutoHyphens w:val="0"/>
        <w:snapToGrid w:val="0"/>
        <w:spacing w:before="0" w:after="0"/>
        <w:ind w:left="720"/>
        <w:rPr>
          <w:sz w:val="22"/>
          <w:szCs w:val="22"/>
        </w:rPr>
      </w:pPr>
      <w:r w:rsidRPr="00C42F15">
        <w:rPr>
          <w:sz w:val="22"/>
          <w:szCs w:val="22"/>
        </w:rPr>
        <w:t>Period Covered by this Agreement</w:t>
      </w:r>
    </w:p>
    <w:p w:rsidR="00516EF6" w:rsidRPr="00C42F15" w:rsidRDefault="00516EF6" w:rsidP="003314D1">
      <w:pPr>
        <w:snapToGrid w:val="0"/>
        <w:rPr>
          <w:sz w:val="22"/>
          <w:szCs w:val="22"/>
        </w:rPr>
      </w:pPr>
    </w:p>
    <w:p w:rsidR="00516EF6" w:rsidRPr="00C42F15" w:rsidRDefault="00516EF6" w:rsidP="003314D1">
      <w:pPr>
        <w:snapToGrid w:val="0"/>
        <w:rPr>
          <w:sz w:val="22"/>
          <w:szCs w:val="22"/>
        </w:rPr>
      </w:pPr>
      <w:r w:rsidRPr="00C42F15">
        <w:rPr>
          <w:sz w:val="22"/>
          <w:szCs w:val="22"/>
        </w:rPr>
        <w:t>The initial three-year period covered by this Agreement is 1 January 2010 to 31 December 2012.  However, Sections IV and below in this Agreement will be reviewed annually to be extended by one calendar year.</w:t>
      </w:r>
    </w:p>
    <w:p w:rsidR="00516EF6" w:rsidRPr="00C42F15" w:rsidRDefault="00516EF6" w:rsidP="003314D1">
      <w:pPr>
        <w:snapToGrid w:val="0"/>
        <w:rPr>
          <w:sz w:val="22"/>
          <w:szCs w:val="22"/>
        </w:rPr>
      </w:pPr>
    </w:p>
    <w:p w:rsidR="00516EF6" w:rsidRPr="00C42F15" w:rsidRDefault="00516EF6" w:rsidP="003314D1">
      <w:pPr>
        <w:pStyle w:val="Heading2"/>
        <w:keepNext/>
        <w:numPr>
          <w:ilvl w:val="0"/>
          <w:numId w:val="15"/>
        </w:numPr>
        <w:suppressAutoHyphens w:val="0"/>
        <w:snapToGrid w:val="0"/>
        <w:spacing w:before="0" w:after="0"/>
        <w:ind w:left="720"/>
        <w:rPr>
          <w:sz w:val="22"/>
          <w:szCs w:val="22"/>
        </w:rPr>
      </w:pPr>
      <w:r w:rsidRPr="00C42F15">
        <w:rPr>
          <w:sz w:val="22"/>
          <w:szCs w:val="22"/>
        </w:rPr>
        <w:t>Areas for Triennial Scientific Services to be Provided</w:t>
      </w:r>
    </w:p>
    <w:p w:rsidR="00516EF6" w:rsidRPr="00C42F15" w:rsidRDefault="00516EF6" w:rsidP="003314D1">
      <w:pPr>
        <w:snapToGrid w:val="0"/>
        <w:ind w:right="720"/>
        <w:rPr>
          <w:sz w:val="22"/>
          <w:szCs w:val="22"/>
        </w:rPr>
      </w:pPr>
    </w:p>
    <w:p w:rsidR="00516EF6" w:rsidRPr="00C42F15" w:rsidRDefault="00516EF6" w:rsidP="003314D1">
      <w:pPr>
        <w:snapToGrid w:val="0"/>
        <w:ind w:right="720"/>
        <w:rPr>
          <w:sz w:val="22"/>
          <w:szCs w:val="22"/>
        </w:rPr>
      </w:pPr>
      <w:r w:rsidRPr="00C42F15">
        <w:rPr>
          <w:sz w:val="22"/>
          <w:szCs w:val="22"/>
        </w:rPr>
        <w:t>The scientific services to be provided to the Commission by the SPC OFP during 1 January 2010 to 31 December 2012 are as follows:</w:t>
      </w:r>
    </w:p>
    <w:p w:rsidR="00516EF6" w:rsidRPr="00C42F15" w:rsidRDefault="00516EF6" w:rsidP="003314D1">
      <w:pPr>
        <w:snapToGrid w:val="0"/>
        <w:rPr>
          <w:sz w:val="22"/>
          <w:szCs w:val="22"/>
        </w:rPr>
      </w:pPr>
    </w:p>
    <w:p w:rsidR="00516EF6" w:rsidRPr="00C42F15" w:rsidRDefault="00516EF6" w:rsidP="003314D1">
      <w:pPr>
        <w:pStyle w:val="ListParagraph"/>
        <w:numPr>
          <w:ilvl w:val="0"/>
          <w:numId w:val="10"/>
        </w:numPr>
        <w:snapToGrid w:val="0"/>
        <w:ind w:left="360"/>
        <w:jc w:val="both"/>
        <w:rPr>
          <w:sz w:val="22"/>
          <w:szCs w:val="22"/>
          <w:lang w:eastAsia="ko-KR"/>
        </w:rPr>
      </w:pPr>
      <w:r w:rsidRPr="00C42F15">
        <w:rPr>
          <w:sz w:val="22"/>
          <w:szCs w:val="22"/>
        </w:rPr>
        <w:t>Data management, statistical analyses and related services</w:t>
      </w:r>
      <w:r w:rsidRPr="00C42F15">
        <w:rPr>
          <w:sz w:val="22"/>
          <w:szCs w:val="22"/>
          <w:lang w:eastAsia="ko-KR"/>
        </w:rPr>
        <w:t xml:space="preserve"> </w:t>
      </w:r>
    </w:p>
    <w:p w:rsidR="00516EF6" w:rsidRPr="00C42F15" w:rsidRDefault="00516EF6" w:rsidP="003314D1">
      <w:pPr>
        <w:pStyle w:val="ListParagraph"/>
        <w:numPr>
          <w:ilvl w:val="0"/>
          <w:numId w:val="11"/>
        </w:numPr>
        <w:snapToGrid w:val="0"/>
        <w:jc w:val="both"/>
        <w:rPr>
          <w:sz w:val="22"/>
          <w:szCs w:val="22"/>
          <w:lang w:eastAsia="ko-KR"/>
        </w:rPr>
      </w:pPr>
      <w:r w:rsidRPr="00C42F15">
        <w:rPr>
          <w:sz w:val="22"/>
          <w:szCs w:val="22"/>
          <w:lang w:eastAsia="ko-KR"/>
        </w:rPr>
        <w:t xml:space="preserve">Data management </w:t>
      </w:r>
    </w:p>
    <w:p w:rsidR="00516EF6" w:rsidRPr="00C42F15" w:rsidRDefault="00516EF6" w:rsidP="003314D1">
      <w:pPr>
        <w:pStyle w:val="ListParagraph"/>
        <w:numPr>
          <w:ilvl w:val="0"/>
          <w:numId w:val="11"/>
        </w:numPr>
        <w:snapToGrid w:val="0"/>
        <w:jc w:val="both"/>
        <w:rPr>
          <w:sz w:val="22"/>
          <w:szCs w:val="22"/>
          <w:lang w:eastAsia="ko-KR"/>
        </w:rPr>
      </w:pPr>
      <w:r w:rsidRPr="00C42F15">
        <w:rPr>
          <w:sz w:val="22"/>
          <w:szCs w:val="22"/>
          <w:lang w:eastAsia="ko-KR"/>
        </w:rPr>
        <w:t>Compilation of  catch and effort estimates</w:t>
      </w:r>
    </w:p>
    <w:p w:rsidR="00516EF6" w:rsidRPr="00C42F15" w:rsidRDefault="00516EF6" w:rsidP="003314D1">
      <w:pPr>
        <w:pStyle w:val="ListParagraph"/>
        <w:numPr>
          <w:ilvl w:val="0"/>
          <w:numId w:val="11"/>
        </w:numPr>
        <w:snapToGrid w:val="0"/>
        <w:jc w:val="both"/>
        <w:rPr>
          <w:sz w:val="22"/>
          <w:szCs w:val="22"/>
          <w:lang w:eastAsia="ko-KR"/>
        </w:rPr>
      </w:pPr>
      <w:r w:rsidRPr="00C42F15">
        <w:rPr>
          <w:sz w:val="22"/>
          <w:szCs w:val="22"/>
          <w:lang w:eastAsia="ko-KR"/>
        </w:rPr>
        <w:t>Statistical analyses for catch estimates</w:t>
      </w:r>
    </w:p>
    <w:p w:rsidR="00516EF6" w:rsidRPr="00C42F15" w:rsidRDefault="00516EF6" w:rsidP="003314D1">
      <w:pPr>
        <w:pStyle w:val="ListParagraph"/>
        <w:numPr>
          <w:ilvl w:val="0"/>
          <w:numId w:val="11"/>
        </w:numPr>
        <w:snapToGrid w:val="0"/>
        <w:jc w:val="both"/>
        <w:rPr>
          <w:sz w:val="22"/>
          <w:szCs w:val="22"/>
          <w:lang w:eastAsia="ko-KR"/>
        </w:rPr>
      </w:pPr>
      <w:r w:rsidRPr="00C42F15">
        <w:rPr>
          <w:sz w:val="22"/>
          <w:szCs w:val="22"/>
          <w:lang w:eastAsia="ko-KR"/>
        </w:rPr>
        <w:t>Rules and procedures of the Commission’s data</w:t>
      </w:r>
    </w:p>
    <w:p w:rsidR="00516EF6" w:rsidRPr="00C42F15" w:rsidRDefault="00516EF6" w:rsidP="003314D1">
      <w:pPr>
        <w:pStyle w:val="ListParagraph"/>
        <w:numPr>
          <w:ilvl w:val="0"/>
          <w:numId w:val="11"/>
        </w:numPr>
        <w:snapToGrid w:val="0"/>
        <w:jc w:val="both"/>
        <w:rPr>
          <w:sz w:val="22"/>
          <w:szCs w:val="22"/>
          <w:lang w:eastAsia="ko-KR"/>
        </w:rPr>
      </w:pPr>
      <w:r w:rsidRPr="00C42F15">
        <w:rPr>
          <w:sz w:val="22"/>
          <w:szCs w:val="22"/>
          <w:lang w:eastAsia="ko-KR"/>
        </w:rPr>
        <w:t>Data gaps</w:t>
      </w:r>
    </w:p>
    <w:p w:rsidR="00516EF6" w:rsidRPr="00C42F15" w:rsidRDefault="00516EF6" w:rsidP="003314D1">
      <w:pPr>
        <w:pStyle w:val="ListParagraph"/>
        <w:numPr>
          <w:ilvl w:val="0"/>
          <w:numId w:val="11"/>
        </w:numPr>
        <w:snapToGrid w:val="0"/>
        <w:jc w:val="both"/>
        <w:rPr>
          <w:sz w:val="22"/>
          <w:szCs w:val="22"/>
          <w:lang w:eastAsia="ko-KR"/>
        </w:rPr>
      </w:pPr>
      <w:r w:rsidRPr="00C42F15">
        <w:rPr>
          <w:sz w:val="22"/>
          <w:szCs w:val="22"/>
          <w:lang w:eastAsia="ko-KR"/>
        </w:rPr>
        <w:t>Assistance to WPEA OFM Project</w:t>
      </w:r>
    </w:p>
    <w:p w:rsidR="00516EF6" w:rsidRPr="00C42F15" w:rsidRDefault="00516EF6" w:rsidP="003314D1">
      <w:pPr>
        <w:pStyle w:val="ListParagraph"/>
        <w:numPr>
          <w:ilvl w:val="0"/>
          <w:numId w:val="11"/>
        </w:numPr>
        <w:snapToGrid w:val="0"/>
        <w:jc w:val="both"/>
        <w:rPr>
          <w:sz w:val="22"/>
          <w:szCs w:val="22"/>
          <w:lang w:eastAsia="ko-KR"/>
        </w:rPr>
      </w:pPr>
      <w:r w:rsidRPr="00C42F15">
        <w:rPr>
          <w:sz w:val="22"/>
          <w:szCs w:val="22"/>
          <w:lang w:eastAsia="ko-KR"/>
        </w:rPr>
        <w:t>Dissemination of data</w:t>
      </w:r>
    </w:p>
    <w:p w:rsidR="00516EF6" w:rsidRPr="00C42F15" w:rsidRDefault="00516EF6" w:rsidP="003314D1">
      <w:pPr>
        <w:snapToGrid w:val="0"/>
        <w:rPr>
          <w:sz w:val="22"/>
          <w:szCs w:val="22"/>
          <w:lang w:eastAsia="ko-KR"/>
        </w:rPr>
      </w:pPr>
    </w:p>
    <w:p w:rsidR="00516EF6" w:rsidRPr="00C42F15" w:rsidRDefault="00516EF6" w:rsidP="003314D1">
      <w:pPr>
        <w:pStyle w:val="ListParagraph"/>
        <w:numPr>
          <w:ilvl w:val="0"/>
          <w:numId w:val="10"/>
        </w:numPr>
        <w:snapToGrid w:val="0"/>
        <w:ind w:left="360"/>
        <w:jc w:val="both"/>
        <w:rPr>
          <w:sz w:val="22"/>
          <w:szCs w:val="22"/>
        </w:rPr>
      </w:pPr>
      <w:r w:rsidRPr="00C42F15">
        <w:rPr>
          <w:sz w:val="22"/>
          <w:szCs w:val="22"/>
        </w:rPr>
        <w:t xml:space="preserve">Stock assessment and related analytical services </w:t>
      </w:r>
    </w:p>
    <w:p w:rsidR="00516EF6" w:rsidRPr="00C42F15" w:rsidRDefault="00516EF6" w:rsidP="003314D1">
      <w:pPr>
        <w:pStyle w:val="ListParagraph"/>
        <w:numPr>
          <w:ilvl w:val="0"/>
          <w:numId w:val="12"/>
        </w:numPr>
        <w:snapToGrid w:val="0"/>
        <w:jc w:val="both"/>
        <w:rPr>
          <w:sz w:val="22"/>
          <w:szCs w:val="22"/>
        </w:rPr>
      </w:pPr>
      <w:r w:rsidRPr="00C42F15">
        <w:rPr>
          <w:sz w:val="22"/>
          <w:szCs w:val="22"/>
        </w:rPr>
        <w:t xml:space="preserve">Stock assessment </w:t>
      </w:r>
    </w:p>
    <w:p w:rsidR="00516EF6" w:rsidRPr="00C42F15" w:rsidRDefault="00516EF6" w:rsidP="003314D1">
      <w:pPr>
        <w:pStyle w:val="ListParagraph"/>
        <w:numPr>
          <w:ilvl w:val="0"/>
          <w:numId w:val="12"/>
        </w:numPr>
        <w:snapToGrid w:val="0"/>
        <w:jc w:val="both"/>
        <w:rPr>
          <w:sz w:val="22"/>
          <w:szCs w:val="22"/>
        </w:rPr>
      </w:pPr>
      <w:r w:rsidRPr="00C42F15">
        <w:rPr>
          <w:sz w:val="22"/>
          <w:szCs w:val="22"/>
        </w:rPr>
        <w:t xml:space="preserve">CPUE standardization </w:t>
      </w:r>
    </w:p>
    <w:p w:rsidR="00516EF6" w:rsidRPr="00C42F15" w:rsidRDefault="00516EF6" w:rsidP="003314D1">
      <w:pPr>
        <w:pStyle w:val="ListParagraph"/>
        <w:numPr>
          <w:ilvl w:val="0"/>
          <w:numId w:val="12"/>
        </w:numPr>
        <w:snapToGrid w:val="0"/>
        <w:jc w:val="both"/>
        <w:rPr>
          <w:sz w:val="22"/>
          <w:szCs w:val="22"/>
        </w:rPr>
      </w:pPr>
      <w:r w:rsidRPr="00C42F15">
        <w:rPr>
          <w:sz w:val="22"/>
          <w:szCs w:val="22"/>
        </w:rPr>
        <w:t xml:space="preserve">Sensitivity analysis </w:t>
      </w:r>
    </w:p>
    <w:p w:rsidR="00516EF6" w:rsidRPr="00C42F15" w:rsidRDefault="00516EF6" w:rsidP="003314D1">
      <w:pPr>
        <w:pStyle w:val="ListParagraph"/>
        <w:numPr>
          <w:ilvl w:val="0"/>
          <w:numId w:val="12"/>
        </w:numPr>
        <w:snapToGrid w:val="0"/>
        <w:jc w:val="both"/>
        <w:rPr>
          <w:sz w:val="22"/>
          <w:szCs w:val="22"/>
        </w:rPr>
      </w:pPr>
      <w:r w:rsidRPr="00C42F15">
        <w:rPr>
          <w:sz w:val="22"/>
          <w:szCs w:val="22"/>
        </w:rPr>
        <w:t>Model refinement</w:t>
      </w:r>
    </w:p>
    <w:p w:rsidR="00516EF6" w:rsidRPr="00C42F15" w:rsidRDefault="00516EF6" w:rsidP="003314D1">
      <w:pPr>
        <w:snapToGrid w:val="0"/>
        <w:rPr>
          <w:sz w:val="22"/>
          <w:szCs w:val="22"/>
        </w:rPr>
      </w:pPr>
    </w:p>
    <w:p w:rsidR="00516EF6" w:rsidRPr="00C42F15" w:rsidRDefault="00516EF6" w:rsidP="003314D1">
      <w:pPr>
        <w:pStyle w:val="ListParagraph"/>
        <w:numPr>
          <w:ilvl w:val="0"/>
          <w:numId w:val="10"/>
        </w:numPr>
        <w:snapToGrid w:val="0"/>
        <w:ind w:left="360"/>
        <w:jc w:val="both"/>
        <w:rPr>
          <w:sz w:val="22"/>
          <w:szCs w:val="22"/>
        </w:rPr>
      </w:pPr>
      <w:r w:rsidRPr="00C42F15">
        <w:rPr>
          <w:sz w:val="22"/>
          <w:szCs w:val="22"/>
          <w:lang w:eastAsia="ko-KR"/>
        </w:rPr>
        <w:t>Management analyses and CMM performance monitoring</w:t>
      </w:r>
      <w:r w:rsidRPr="00C42F15">
        <w:rPr>
          <w:sz w:val="22"/>
          <w:szCs w:val="22"/>
        </w:rPr>
        <w:t xml:space="preserve"> </w:t>
      </w:r>
    </w:p>
    <w:p w:rsidR="00516EF6" w:rsidRPr="00C42F15" w:rsidRDefault="00516EF6" w:rsidP="003314D1">
      <w:pPr>
        <w:pStyle w:val="ListParagraph"/>
        <w:numPr>
          <w:ilvl w:val="0"/>
          <w:numId w:val="13"/>
        </w:numPr>
        <w:snapToGrid w:val="0"/>
        <w:jc w:val="both"/>
        <w:rPr>
          <w:sz w:val="22"/>
          <w:szCs w:val="22"/>
        </w:rPr>
      </w:pPr>
      <w:r w:rsidRPr="00C42F15">
        <w:rPr>
          <w:sz w:val="22"/>
          <w:szCs w:val="22"/>
        </w:rPr>
        <w:t>Assistance to management related matters</w:t>
      </w:r>
    </w:p>
    <w:p w:rsidR="00516EF6" w:rsidRPr="00C42F15" w:rsidRDefault="00516EF6" w:rsidP="003314D1">
      <w:pPr>
        <w:pStyle w:val="ListParagraph"/>
        <w:numPr>
          <w:ilvl w:val="0"/>
          <w:numId w:val="13"/>
        </w:numPr>
        <w:snapToGrid w:val="0"/>
        <w:jc w:val="both"/>
        <w:rPr>
          <w:sz w:val="22"/>
          <w:szCs w:val="22"/>
        </w:rPr>
      </w:pPr>
      <w:r w:rsidRPr="00C42F15">
        <w:rPr>
          <w:sz w:val="22"/>
          <w:szCs w:val="22"/>
        </w:rPr>
        <w:t>Management options</w:t>
      </w:r>
    </w:p>
    <w:p w:rsidR="00516EF6" w:rsidRPr="00C42F15" w:rsidRDefault="00516EF6" w:rsidP="003314D1">
      <w:pPr>
        <w:pStyle w:val="ListParagraph"/>
        <w:numPr>
          <w:ilvl w:val="0"/>
          <w:numId w:val="13"/>
        </w:numPr>
        <w:snapToGrid w:val="0"/>
        <w:jc w:val="both"/>
        <w:rPr>
          <w:sz w:val="22"/>
          <w:szCs w:val="22"/>
        </w:rPr>
      </w:pPr>
      <w:r w:rsidRPr="00C42F15">
        <w:rPr>
          <w:sz w:val="22"/>
          <w:szCs w:val="22"/>
        </w:rPr>
        <w:t>Appraisal and monitoring of the conservation benefit of proposed and implemented CMMs</w:t>
      </w:r>
    </w:p>
    <w:p w:rsidR="00516EF6" w:rsidRPr="00C42F15" w:rsidRDefault="00516EF6" w:rsidP="003314D1">
      <w:pPr>
        <w:snapToGrid w:val="0"/>
        <w:rPr>
          <w:sz w:val="22"/>
          <w:szCs w:val="22"/>
        </w:rPr>
      </w:pPr>
    </w:p>
    <w:p w:rsidR="00516EF6" w:rsidRPr="00C42F15" w:rsidRDefault="00516EF6" w:rsidP="003314D1">
      <w:pPr>
        <w:pStyle w:val="ListParagraph"/>
        <w:numPr>
          <w:ilvl w:val="0"/>
          <w:numId w:val="10"/>
        </w:numPr>
        <w:snapToGrid w:val="0"/>
        <w:ind w:left="360"/>
        <w:jc w:val="both"/>
        <w:rPr>
          <w:sz w:val="22"/>
          <w:szCs w:val="22"/>
        </w:rPr>
      </w:pPr>
      <w:r w:rsidRPr="00C42F15">
        <w:rPr>
          <w:sz w:val="22"/>
          <w:szCs w:val="22"/>
        </w:rPr>
        <w:t>Ecosystem analyses</w:t>
      </w:r>
    </w:p>
    <w:p w:rsidR="00516EF6" w:rsidRPr="00C42F15" w:rsidRDefault="00516EF6" w:rsidP="003314D1">
      <w:pPr>
        <w:pStyle w:val="ListParagraph"/>
        <w:numPr>
          <w:ilvl w:val="0"/>
          <w:numId w:val="14"/>
        </w:numPr>
        <w:snapToGrid w:val="0"/>
        <w:jc w:val="both"/>
        <w:rPr>
          <w:sz w:val="22"/>
          <w:szCs w:val="22"/>
        </w:rPr>
      </w:pPr>
      <w:r w:rsidRPr="00C42F15">
        <w:rPr>
          <w:sz w:val="22"/>
          <w:szCs w:val="22"/>
        </w:rPr>
        <w:t>Ecosystem, fishery interactions and non-target species assessments</w:t>
      </w:r>
    </w:p>
    <w:p w:rsidR="00516EF6" w:rsidRPr="00C42F15" w:rsidRDefault="00516EF6" w:rsidP="003314D1">
      <w:pPr>
        <w:pStyle w:val="ListParagraph"/>
        <w:numPr>
          <w:ilvl w:val="0"/>
          <w:numId w:val="14"/>
        </w:numPr>
        <w:snapToGrid w:val="0"/>
        <w:jc w:val="both"/>
        <w:rPr>
          <w:sz w:val="22"/>
          <w:szCs w:val="22"/>
        </w:rPr>
      </w:pPr>
      <w:r w:rsidRPr="00C42F15">
        <w:rPr>
          <w:sz w:val="22"/>
          <w:szCs w:val="22"/>
        </w:rPr>
        <w:t>Development of ecosystem modeling and application to management</w:t>
      </w:r>
    </w:p>
    <w:p w:rsidR="00516EF6" w:rsidRPr="00C42F15" w:rsidRDefault="00516EF6" w:rsidP="003314D1">
      <w:pPr>
        <w:snapToGrid w:val="0"/>
        <w:rPr>
          <w:sz w:val="22"/>
          <w:szCs w:val="22"/>
        </w:rPr>
      </w:pPr>
    </w:p>
    <w:p w:rsidR="00516EF6" w:rsidRPr="00C42F15" w:rsidRDefault="00516EF6" w:rsidP="003314D1">
      <w:pPr>
        <w:pStyle w:val="ListParagraph"/>
        <w:numPr>
          <w:ilvl w:val="0"/>
          <w:numId w:val="10"/>
        </w:numPr>
        <w:snapToGrid w:val="0"/>
        <w:ind w:left="360"/>
        <w:jc w:val="both"/>
        <w:rPr>
          <w:sz w:val="22"/>
          <w:szCs w:val="22"/>
        </w:rPr>
      </w:pPr>
      <w:r w:rsidRPr="00C42F15">
        <w:rPr>
          <w:sz w:val="22"/>
          <w:szCs w:val="22"/>
        </w:rPr>
        <w:t>Capacity building of small island developing States</w:t>
      </w:r>
    </w:p>
    <w:p w:rsidR="00516EF6" w:rsidRPr="00C42F15" w:rsidRDefault="00516EF6" w:rsidP="003314D1">
      <w:pPr>
        <w:pStyle w:val="ListParagraph"/>
        <w:snapToGrid w:val="0"/>
        <w:ind w:left="360"/>
        <w:jc w:val="both"/>
        <w:rPr>
          <w:sz w:val="22"/>
          <w:szCs w:val="22"/>
        </w:rPr>
      </w:pPr>
    </w:p>
    <w:p w:rsidR="00516EF6" w:rsidRPr="00C42F15" w:rsidRDefault="00516EF6" w:rsidP="003314D1">
      <w:pPr>
        <w:pStyle w:val="ListParagraph"/>
        <w:numPr>
          <w:ilvl w:val="0"/>
          <w:numId w:val="10"/>
        </w:numPr>
        <w:snapToGrid w:val="0"/>
        <w:ind w:left="360"/>
        <w:jc w:val="both"/>
        <w:rPr>
          <w:sz w:val="22"/>
          <w:szCs w:val="22"/>
        </w:rPr>
      </w:pPr>
      <w:r w:rsidRPr="00C42F15">
        <w:rPr>
          <w:sz w:val="22"/>
          <w:szCs w:val="22"/>
        </w:rPr>
        <w:t>Research services</w:t>
      </w:r>
    </w:p>
    <w:p w:rsidR="00516EF6" w:rsidRPr="00C42F15" w:rsidRDefault="00516EF6" w:rsidP="003314D1">
      <w:pPr>
        <w:pStyle w:val="ListParagraph"/>
        <w:snapToGrid w:val="0"/>
        <w:ind w:left="360"/>
        <w:jc w:val="both"/>
        <w:rPr>
          <w:sz w:val="22"/>
          <w:szCs w:val="22"/>
        </w:rPr>
      </w:pPr>
    </w:p>
    <w:p w:rsidR="00516EF6" w:rsidRPr="00C42F15" w:rsidRDefault="00516EF6" w:rsidP="003314D1">
      <w:pPr>
        <w:pStyle w:val="ListParagraph"/>
        <w:numPr>
          <w:ilvl w:val="0"/>
          <w:numId w:val="10"/>
        </w:numPr>
        <w:snapToGrid w:val="0"/>
        <w:ind w:left="360"/>
        <w:jc w:val="both"/>
        <w:rPr>
          <w:sz w:val="22"/>
          <w:szCs w:val="22"/>
        </w:rPr>
      </w:pPr>
      <w:r w:rsidRPr="00C42F15">
        <w:rPr>
          <w:sz w:val="22"/>
          <w:szCs w:val="22"/>
        </w:rPr>
        <w:t>Other advisory and technical services</w:t>
      </w:r>
    </w:p>
    <w:p w:rsidR="00516EF6" w:rsidRPr="00C42F15" w:rsidRDefault="00516EF6" w:rsidP="003314D1">
      <w:pPr>
        <w:snapToGrid w:val="0"/>
        <w:rPr>
          <w:b/>
          <w:i/>
          <w:sz w:val="22"/>
          <w:szCs w:val="22"/>
        </w:rPr>
      </w:pPr>
    </w:p>
    <w:p w:rsidR="00516EF6" w:rsidRPr="00C42F15" w:rsidRDefault="00516EF6" w:rsidP="003314D1">
      <w:pPr>
        <w:pStyle w:val="Heading2"/>
        <w:keepNext/>
        <w:numPr>
          <w:ilvl w:val="0"/>
          <w:numId w:val="15"/>
        </w:numPr>
        <w:suppressAutoHyphens w:val="0"/>
        <w:snapToGrid w:val="0"/>
        <w:spacing w:before="0" w:after="0"/>
        <w:ind w:left="720"/>
        <w:rPr>
          <w:sz w:val="22"/>
          <w:szCs w:val="22"/>
        </w:rPr>
      </w:pPr>
      <w:r w:rsidRPr="00C42F15">
        <w:rPr>
          <w:sz w:val="22"/>
          <w:szCs w:val="22"/>
        </w:rPr>
        <w:t>Assistance to Commission Members</w:t>
      </w:r>
    </w:p>
    <w:p w:rsidR="00516EF6" w:rsidRPr="00C42F15" w:rsidRDefault="00516EF6" w:rsidP="003314D1">
      <w:pPr>
        <w:numPr>
          <w:ilvl w:val="1"/>
          <w:numId w:val="0"/>
        </w:numPr>
        <w:snapToGrid w:val="0"/>
        <w:rPr>
          <w:sz w:val="22"/>
          <w:szCs w:val="22"/>
        </w:rPr>
      </w:pPr>
    </w:p>
    <w:p w:rsidR="00516EF6" w:rsidRPr="00C42F15" w:rsidRDefault="00516EF6" w:rsidP="003314D1">
      <w:pPr>
        <w:numPr>
          <w:ilvl w:val="1"/>
          <w:numId w:val="0"/>
        </w:numPr>
        <w:snapToGrid w:val="0"/>
        <w:rPr>
          <w:sz w:val="22"/>
          <w:szCs w:val="22"/>
        </w:rPr>
      </w:pPr>
      <w:r w:rsidRPr="00C42F15">
        <w:rPr>
          <w:sz w:val="22"/>
          <w:szCs w:val="22"/>
        </w:rPr>
        <w:t xml:space="preserve">The SPC OFP will provide services to its membership to assist them to fulfill their responsibilities as Commission Members. These services include assistance in the implementation of fishery monitoring programmes, data management systems and the provision of scientific advice for EEZ-based management. The majority of these services will be provided from existing SPC OFP funding sources. </w:t>
      </w:r>
    </w:p>
    <w:p w:rsidR="00516EF6" w:rsidRPr="00C42F15" w:rsidRDefault="00516EF6" w:rsidP="003314D1">
      <w:pPr>
        <w:numPr>
          <w:ilvl w:val="1"/>
          <w:numId w:val="0"/>
        </w:numPr>
        <w:snapToGrid w:val="0"/>
        <w:rPr>
          <w:sz w:val="22"/>
          <w:szCs w:val="22"/>
        </w:rPr>
      </w:pPr>
    </w:p>
    <w:p w:rsidR="000254E4" w:rsidRPr="00C42F15" w:rsidRDefault="000254E4">
      <w:pPr>
        <w:spacing w:after="200" w:line="276" w:lineRule="auto"/>
        <w:rPr>
          <w:b/>
          <w:sz w:val="22"/>
          <w:szCs w:val="22"/>
          <w:lang w:val="en-GB" w:eastAsia="ar-SA"/>
        </w:rPr>
      </w:pPr>
      <w:r w:rsidRPr="00C42F15">
        <w:rPr>
          <w:sz w:val="22"/>
          <w:szCs w:val="22"/>
        </w:rPr>
        <w:br w:type="page"/>
      </w:r>
    </w:p>
    <w:p w:rsidR="00516EF6" w:rsidRPr="00C42F15" w:rsidRDefault="00516EF6" w:rsidP="003314D1">
      <w:pPr>
        <w:pStyle w:val="Heading2"/>
        <w:keepNext/>
        <w:numPr>
          <w:ilvl w:val="0"/>
          <w:numId w:val="15"/>
        </w:numPr>
        <w:suppressAutoHyphens w:val="0"/>
        <w:snapToGrid w:val="0"/>
        <w:spacing w:before="0" w:after="0"/>
        <w:ind w:left="720"/>
        <w:rPr>
          <w:sz w:val="22"/>
          <w:szCs w:val="22"/>
        </w:rPr>
      </w:pPr>
      <w:r w:rsidRPr="00C42F15">
        <w:rPr>
          <w:sz w:val="22"/>
          <w:szCs w:val="22"/>
        </w:rPr>
        <w:lastRenderedPageBreak/>
        <w:t xml:space="preserve">Specific Services and Terms of Reference for the Provision of Scientific Services </w:t>
      </w:r>
      <w:r w:rsidR="000254E4" w:rsidRPr="00C42F15">
        <w:rPr>
          <w:sz w:val="22"/>
          <w:szCs w:val="22"/>
        </w:rPr>
        <w:t>for 2010</w:t>
      </w:r>
    </w:p>
    <w:p w:rsidR="000254E4" w:rsidRPr="00C42F15" w:rsidRDefault="000254E4" w:rsidP="003314D1">
      <w:pPr>
        <w:numPr>
          <w:ilvl w:val="1"/>
          <w:numId w:val="0"/>
        </w:numPr>
        <w:snapToGrid w:val="0"/>
        <w:rPr>
          <w:sz w:val="22"/>
          <w:szCs w:val="22"/>
        </w:rPr>
      </w:pPr>
    </w:p>
    <w:p w:rsidR="00516EF6" w:rsidRPr="00C42F15" w:rsidRDefault="00516EF6" w:rsidP="003314D1">
      <w:pPr>
        <w:numPr>
          <w:ilvl w:val="1"/>
          <w:numId w:val="0"/>
        </w:numPr>
        <w:snapToGrid w:val="0"/>
        <w:rPr>
          <w:sz w:val="22"/>
          <w:szCs w:val="22"/>
        </w:rPr>
      </w:pPr>
      <w:r w:rsidRPr="00C42F15">
        <w:rPr>
          <w:sz w:val="22"/>
          <w:szCs w:val="22"/>
        </w:rPr>
        <w:t>This secti</w:t>
      </w:r>
      <w:r w:rsidR="000254E4" w:rsidRPr="00C42F15">
        <w:rPr>
          <w:sz w:val="22"/>
          <w:szCs w:val="22"/>
        </w:rPr>
        <w:t xml:space="preserve">on will be reviewed and revised annually </w:t>
      </w:r>
      <w:r w:rsidRPr="00C42F15">
        <w:rPr>
          <w:sz w:val="22"/>
          <w:szCs w:val="22"/>
        </w:rPr>
        <w:t xml:space="preserve">according to the requests from the Commission and its subsidiary bodies. </w:t>
      </w:r>
    </w:p>
    <w:p w:rsidR="000254E4" w:rsidRPr="00C42F15" w:rsidRDefault="000254E4" w:rsidP="000254E4">
      <w:pPr>
        <w:rPr>
          <w:sz w:val="22"/>
          <w:szCs w:val="22"/>
          <w:lang w:eastAsia="ko-KR"/>
        </w:rPr>
      </w:pPr>
    </w:p>
    <w:p w:rsidR="000254E4" w:rsidRPr="00C42F15" w:rsidRDefault="000254E4" w:rsidP="000254E4">
      <w:pPr>
        <w:pStyle w:val="Heading2"/>
        <w:keepNext/>
        <w:numPr>
          <w:ilvl w:val="0"/>
          <w:numId w:val="0"/>
        </w:numPr>
        <w:suppressAutoHyphens w:val="0"/>
        <w:spacing w:before="0" w:after="0"/>
        <w:rPr>
          <w:sz w:val="22"/>
          <w:szCs w:val="22"/>
          <w:lang w:val="en-US"/>
        </w:rPr>
      </w:pPr>
      <w:r w:rsidRPr="00C42F15">
        <w:rPr>
          <w:sz w:val="22"/>
          <w:szCs w:val="22"/>
          <w:lang w:val="en-US"/>
        </w:rPr>
        <w:t xml:space="preserve">1. </w:t>
      </w:r>
      <w:r w:rsidRPr="00C42F15">
        <w:rPr>
          <w:sz w:val="22"/>
          <w:szCs w:val="22"/>
          <w:lang w:val="en-US"/>
        </w:rPr>
        <w:tab/>
        <w:t>Period Covered by this Agreement</w:t>
      </w:r>
    </w:p>
    <w:p w:rsidR="000254E4" w:rsidRPr="00C42F15" w:rsidRDefault="000254E4" w:rsidP="000254E4">
      <w:pPr>
        <w:rPr>
          <w:sz w:val="22"/>
          <w:szCs w:val="22"/>
          <w:lang w:eastAsia="ar-SA"/>
        </w:rPr>
      </w:pPr>
    </w:p>
    <w:p w:rsidR="000254E4" w:rsidRPr="00C42F15" w:rsidRDefault="000254E4" w:rsidP="000254E4">
      <w:pPr>
        <w:rPr>
          <w:sz w:val="22"/>
          <w:szCs w:val="22"/>
        </w:rPr>
      </w:pPr>
      <w:r w:rsidRPr="00C42F15">
        <w:rPr>
          <w:sz w:val="22"/>
          <w:szCs w:val="22"/>
        </w:rPr>
        <w:t>The period covered by this Agreement is 1 January 2010 to 31 December 2010.</w:t>
      </w:r>
    </w:p>
    <w:p w:rsidR="000254E4" w:rsidRPr="00C42F15" w:rsidRDefault="000254E4" w:rsidP="000254E4">
      <w:pPr>
        <w:rPr>
          <w:sz w:val="22"/>
          <w:szCs w:val="22"/>
          <w:lang w:eastAsia="ko-KR"/>
        </w:rPr>
      </w:pPr>
    </w:p>
    <w:p w:rsidR="000254E4" w:rsidRPr="00C42F15" w:rsidRDefault="000254E4" w:rsidP="000254E4">
      <w:pPr>
        <w:pStyle w:val="Heading2"/>
        <w:keepNext/>
        <w:numPr>
          <w:ilvl w:val="0"/>
          <w:numId w:val="1"/>
        </w:numPr>
        <w:tabs>
          <w:tab w:val="clear" w:pos="0"/>
          <w:tab w:val="num" w:pos="567"/>
        </w:tabs>
        <w:suppressAutoHyphens w:val="0"/>
        <w:spacing w:before="0" w:after="0"/>
        <w:ind w:left="567" w:hanging="567"/>
        <w:rPr>
          <w:sz w:val="22"/>
          <w:szCs w:val="22"/>
          <w:lang w:val="en-US"/>
        </w:rPr>
      </w:pPr>
      <w:r w:rsidRPr="00C42F15">
        <w:rPr>
          <w:sz w:val="22"/>
          <w:szCs w:val="22"/>
          <w:lang w:val="en-US"/>
        </w:rPr>
        <w:t xml:space="preserve">2. </w:t>
      </w:r>
      <w:r w:rsidRPr="00C42F15">
        <w:rPr>
          <w:sz w:val="22"/>
          <w:szCs w:val="22"/>
          <w:lang w:val="en-US"/>
        </w:rPr>
        <w:tab/>
        <w:t>Scientific Services to be Provided</w:t>
      </w:r>
    </w:p>
    <w:p w:rsidR="000254E4" w:rsidRPr="00C42F15" w:rsidRDefault="000254E4" w:rsidP="000254E4">
      <w:pPr>
        <w:rPr>
          <w:sz w:val="22"/>
          <w:szCs w:val="22"/>
        </w:rPr>
      </w:pPr>
      <w:r w:rsidRPr="00C42F15">
        <w:rPr>
          <w:sz w:val="22"/>
          <w:szCs w:val="22"/>
        </w:rPr>
        <w:t>The scientific services to be provided to the Commission by the SPC OFP during the period of this Agreement are as follows:</w:t>
      </w:r>
    </w:p>
    <w:p w:rsidR="000254E4" w:rsidRPr="00C42F15" w:rsidRDefault="000254E4" w:rsidP="000254E4">
      <w:pPr>
        <w:rPr>
          <w:sz w:val="22"/>
          <w:szCs w:val="22"/>
        </w:rPr>
      </w:pPr>
    </w:p>
    <w:tbl>
      <w:tblPr>
        <w:tblStyle w:val="TableGrid"/>
        <w:tblW w:w="0" w:type="auto"/>
        <w:tblLayout w:type="fixed"/>
        <w:tblLook w:val="04A0"/>
      </w:tblPr>
      <w:tblGrid>
        <w:gridCol w:w="1098"/>
        <w:gridCol w:w="7380"/>
        <w:gridCol w:w="2520"/>
        <w:gridCol w:w="1350"/>
        <w:gridCol w:w="1828"/>
      </w:tblGrid>
      <w:tr w:rsidR="000254E4" w:rsidRPr="00C42F15" w:rsidTr="00DB7515">
        <w:trPr>
          <w:tblHeader/>
        </w:trPr>
        <w:tc>
          <w:tcPr>
            <w:tcW w:w="1098" w:type="dxa"/>
            <w:tcBorders>
              <w:bottom w:val="single" w:sz="4" w:space="0" w:color="auto"/>
            </w:tcBorders>
            <w:shd w:val="solid" w:color="auto" w:fill="auto"/>
          </w:tcPr>
          <w:p w:rsidR="000254E4" w:rsidRPr="00C42F15" w:rsidRDefault="000254E4" w:rsidP="00DB7515">
            <w:pPr>
              <w:jc w:val="center"/>
              <w:rPr>
                <w:b/>
                <w:color w:val="FFFFFF" w:themeColor="background1"/>
                <w:sz w:val="22"/>
                <w:szCs w:val="22"/>
              </w:rPr>
            </w:pPr>
            <w:r w:rsidRPr="00C42F15">
              <w:rPr>
                <w:b/>
                <w:color w:val="FFFFFF" w:themeColor="background1"/>
                <w:sz w:val="22"/>
                <w:szCs w:val="22"/>
              </w:rPr>
              <w:t>Activity</w:t>
            </w:r>
            <w:r w:rsidRPr="00C42F15">
              <w:rPr>
                <w:rStyle w:val="FootnoteReference"/>
                <w:b/>
                <w:color w:val="FFFFFF" w:themeColor="background1"/>
                <w:sz w:val="22"/>
                <w:szCs w:val="22"/>
              </w:rPr>
              <w:footnoteReference w:id="1"/>
            </w:r>
          </w:p>
        </w:tc>
        <w:tc>
          <w:tcPr>
            <w:tcW w:w="7380" w:type="dxa"/>
            <w:tcBorders>
              <w:bottom w:val="single" w:sz="4" w:space="0" w:color="auto"/>
            </w:tcBorders>
            <w:shd w:val="solid" w:color="auto" w:fill="auto"/>
          </w:tcPr>
          <w:p w:rsidR="000254E4" w:rsidRPr="00C42F15" w:rsidRDefault="000254E4" w:rsidP="00DB7515">
            <w:pPr>
              <w:jc w:val="center"/>
              <w:rPr>
                <w:b/>
                <w:color w:val="FFFFFF" w:themeColor="background1"/>
                <w:sz w:val="22"/>
                <w:szCs w:val="22"/>
              </w:rPr>
            </w:pPr>
            <w:r w:rsidRPr="00C42F15">
              <w:rPr>
                <w:b/>
                <w:color w:val="FFFFFF" w:themeColor="background1"/>
                <w:sz w:val="22"/>
                <w:szCs w:val="22"/>
              </w:rPr>
              <w:t>Description of Service</w:t>
            </w:r>
          </w:p>
        </w:tc>
        <w:tc>
          <w:tcPr>
            <w:tcW w:w="2520" w:type="dxa"/>
            <w:tcBorders>
              <w:bottom w:val="single" w:sz="4" w:space="0" w:color="auto"/>
            </w:tcBorders>
            <w:shd w:val="solid" w:color="auto" w:fill="auto"/>
          </w:tcPr>
          <w:p w:rsidR="000254E4" w:rsidRPr="00C42F15" w:rsidRDefault="000254E4" w:rsidP="00DB7515">
            <w:pPr>
              <w:jc w:val="center"/>
              <w:rPr>
                <w:b/>
                <w:color w:val="FFFFFF" w:themeColor="background1"/>
                <w:sz w:val="22"/>
                <w:szCs w:val="22"/>
              </w:rPr>
            </w:pPr>
            <w:r w:rsidRPr="00C42F15">
              <w:rPr>
                <w:b/>
                <w:color w:val="FFFFFF" w:themeColor="background1"/>
                <w:sz w:val="22"/>
                <w:szCs w:val="22"/>
              </w:rPr>
              <w:t>Specific Outputs</w:t>
            </w:r>
          </w:p>
        </w:tc>
        <w:tc>
          <w:tcPr>
            <w:tcW w:w="1350" w:type="dxa"/>
            <w:tcBorders>
              <w:bottom w:val="single" w:sz="4" w:space="0" w:color="auto"/>
            </w:tcBorders>
            <w:shd w:val="solid" w:color="auto" w:fill="auto"/>
          </w:tcPr>
          <w:p w:rsidR="000254E4" w:rsidRPr="00C42F15" w:rsidRDefault="000254E4" w:rsidP="00DB7515">
            <w:pPr>
              <w:jc w:val="center"/>
              <w:rPr>
                <w:b/>
                <w:color w:val="FFFFFF" w:themeColor="background1"/>
                <w:sz w:val="22"/>
                <w:szCs w:val="22"/>
              </w:rPr>
            </w:pPr>
            <w:r w:rsidRPr="00C42F15">
              <w:rPr>
                <w:b/>
                <w:color w:val="FFFFFF" w:themeColor="background1"/>
                <w:sz w:val="22"/>
                <w:szCs w:val="22"/>
              </w:rPr>
              <w:t>Timing</w:t>
            </w:r>
          </w:p>
        </w:tc>
        <w:tc>
          <w:tcPr>
            <w:tcW w:w="1828" w:type="dxa"/>
            <w:tcBorders>
              <w:bottom w:val="single" w:sz="4" w:space="0" w:color="auto"/>
            </w:tcBorders>
            <w:shd w:val="solid" w:color="auto" w:fill="auto"/>
          </w:tcPr>
          <w:p w:rsidR="000254E4" w:rsidRPr="00C42F15" w:rsidRDefault="000254E4" w:rsidP="00DB7515">
            <w:pPr>
              <w:jc w:val="center"/>
              <w:rPr>
                <w:b/>
                <w:color w:val="FFFFFF" w:themeColor="background1"/>
                <w:sz w:val="22"/>
                <w:szCs w:val="22"/>
              </w:rPr>
            </w:pPr>
            <w:r w:rsidRPr="00C42F15">
              <w:rPr>
                <w:b/>
                <w:color w:val="FFFFFF" w:themeColor="background1"/>
                <w:sz w:val="22"/>
                <w:szCs w:val="22"/>
              </w:rPr>
              <w:t>Performance</w:t>
            </w:r>
            <w:r w:rsidRPr="00C42F15">
              <w:rPr>
                <w:rStyle w:val="FootnoteReference"/>
                <w:b/>
                <w:color w:val="FFFFFF" w:themeColor="background1"/>
                <w:sz w:val="22"/>
                <w:szCs w:val="22"/>
              </w:rPr>
              <w:footnoteReference w:id="2"/>
            </w:r>
          </w:p>
        </w:tc>
      </w:tr>
      <w:tr w:rsidR="000254E4" w:rsidRPr="00C42F15" w:rsidTr="00DB7515">
        <w:trPr>
          <w:tblHeader/>
        </w:trPr>
        <w:tc>
          <w:tcPr>
            <w:tcW w:w="14176" w:type="dxa"/>
            <w:gridSpan w:val="5"/>
            <w:shd w:val="pct10" w:color="auto" w:fill="auto"/>
          </w:tcPr>
          <w:p w:rsidR="000254E4" w:rsidRPr="00C42F15" w:rsidRDefault="000254E4" w:rsidP="00DB7515">
            <w:pPr>
              <w:jc w:val="center"/>
              <w:rPr>
                <w:b/>
                <w:i/>
                <w:sz w:val="22"/>
                <w:szCs w:val="22"/>
              </w:rPr>
            </w:pPr>
            <w:r w:rsidRPr="00C42F15">
              <w:rPr>
                <w:b/>
                <w:i/>
                <w:sz w:val="22"/>
                <w:szCs w:val="22"/>
              </w:rPr>
              <w:t>Core SPC services (USD570k)</w:t>
            </w:r>
          </w:p>
        </w:tc>
      </w:tr>
      <w:tr w:rsidR="000254E4" w:rsidRPr="00C42F15" w:rsidTr="00DB7515">
        <w:trPr>
          <w:tblHeader/>
        </w:trPr>
        <w:tc>
          <w:tcPr>
            <w:tcW w:w="14176" w:type="dxa"/>
            <w:gridSpan w:val="5"/>
            <w:shd w:val="pct10" w:color="auto" w:fill="auto"/>
          </w:tcPr>
          <w:p w:rsidR="000254E4" w:rsidRPr="00C42F15" w:rsidRDefault="000254E4" w:rsidP="00DB7515">
            <w:pPr>
              <w:jc w:val="center"/>
              <w:rPr>
                <w:b/>
                <w:i/>
                <w:sz w:val="22"/>
                <w:szCs w:val="22"/>
              </w:rPr>
            </w:pPr>
            <w:r w:rsidRPr="00C42F15">
              <w:rPr>
                <w:b/>
                <w:i/>
                <w:sz w:val="22"/>
                <w:szCs w:val="22"/>
              </w:rPr>
              <w:t>Data management, statistical analyses and related services</w:t>
            </w:r>
          </w:p>
        </w:tc>
      </w:tr>
      <w:tr w:rsidR="000254E4" w:rsidRPr="00C42F15" w:rsidTr="00DB7515">
        <w:trPr>
          <w:tblHeader/>
        </w:trPr>
        <w:tc>
          <w:tcPr>
            <w:tcW w:w="1098" w:type="dxa"/>
          </w:tcPr>
          <w:p w:rsidR="000254E4" w:rsidRPr="00C42F15" w:rsidRDefault="000254E4" w:rsidP="00DB7515">
            <w:pPr>
              <w:jc w:val="center"/>
              <w:rPr>
                <w:b/>
                <w:sz w:val="22"/>
                <w:szCs w:val="22"/>
              </w:rPr>
            </w:pPr>
            <w:r w:rsidRPr="00C42F15">
              <w:rPr>
                <w:b/>
                <w:sz w:val="22"/>
                <w:szCs w:val="22"/>
              </w:rPr>
              <w:t>i.</w:t>
            </w:r>
          </w:p>
          <w:p w:rsidR="000254E4" w:rsidRPr="00C42F15" w:rsidRDefault="000254E4" w:rsidP="00DB7515">
            <w:pPr>
              <w:jc w:val="center"/>
              <w:rPr>
                <w:b/>
                <w:sz w:val="22"/>
                <w:szCs w:val="22"/>
              </w:rPr>
            </w:pPr>
            <w:r w:rsidRPr="00C42F15">
              <w:rPr>
                <w:b/>
                <w:sz w:val="22"/>
                <w:szCs w:val="22"/>
              </w:rPr>
              <w:t>(1)</w:t>
            </w:r>
          </w:p>
        </w:tc>
        <w:tc>
          <w:tcPr>
            <w:tcW w:w="7380" w:type="dxa"/>
            <w:vAlign w:val="center"/>
          </w:tcPr>
          <w:p w:rsidR="000254E4" w:rsidRPr="00C42F15" w:rsidRDefault="000254E4" w:rsidP="00DB7515">
            <w:pPr>
              <w:rPr>
                <w:b/>
                <w:i/>
                <w:sz w:val="22"/>
                <w:szCs w:val="22"/>
              </w:rPr>
            </w:pPr>
            <w:r w:rsidRPr="00C42F15">
              <w:rPr>
                <w:b/>
                <w:i/>
                <w:sz w:val="22"/>
                <w:szCs w:val="22"/>
              </w:rPr>
              <w:t>Data Management</w:t>
            </w:r>
          </w:p>
        </w:tc>
        <w:tc>
          <w:tcPr>
            <w:tcW w:w="2520" w:type="dxa"/>
          </w:tcPr>
          <w:p w:rsidR="000254E4" w:rsidRPr="00C42F15" w:rsidRDefault="000254E4" w:rsidP="00DB7515">
            <w:pPr>
              <w:rPr>
                <w:sz w:val="22"/>
                <w:szCs w:val="22"/>
              </w:rPr>
            </w:pPr>
          </w:p>
        </w:tc>
        <w:tc>
          <w:tcPr>
            <w:tcW w:w="1350" w:type="dxa"/>
          </w:tcPr>
          <w:p w:rsidR="000254E4" w:rsidRPr="00C42F15" w:rsidRDefault="000254E4" w:rsidP="00DB7515">
            <w:pPr>
              <w:rPr>
                <w:sz w:val="22"/>
                <w:szCs w:val="22"/>
              </w:rPr>
            </w:pPr>
          </w:p>
        </w:tc>
        <w:tc>
          <w:tcPr>
            <w:tcW w:w="1828" w:type="dxa"/>
          </w:tcPr>
          <w:p w:rsidR="000254E4" w:rsidRPr="00C42F15" w:rsidRDefault="000254E4" w:rsidP="00DB7515">
            <w:pPr>
              <w:rPr>
                <w:sz w:val="22"/>
                <w:szCs w:val="22"/>
              </w:rPr>
            </w:pPr>
          </w:p>
        </w:tc>
      </w:tr>
      <w:tr w:rsidR="000254E4" w:rsidRPr="00C42F15" w:rsidTr="00DB7515">
        <w:trPr>
          <w:tblHeader/>
        </w:trPr>
        <w:tc>
          <w:tcPr>
            <w:tcW w:w="1098" w:type="dxa"/>
          </w:tcPr>
          <w:p w:rsidR="000254E4" w:rsidRPr="00C42F15" w:rsidRDefault="000254E4" w:rsidP="00DB7515">
            <w:pPr>
              <w:jc w:val="center"/>
              <w:rPr>
                <w:sz w:val="22"/>
                <w:szCs w:val="22"/>
              </w:rPr>
            </w:pPr>
          </w:p>
        </w:tc>
        <w:tc>
          <w:tcPr>
            <w:tcW w:w="7380" w:type="dxa"/>
          </w:tcPr>
          <w:p w:rsidR="000254E4" w:rsidRPr="00C42F15" w:rsidRDefault="000254E4" w:rsidP="00DB7515">
            <w:pPr>
              <w:pStyle w:val="ListParagraph"/>
              <w:ind w:left="0"/>
              <w:rPr>
                <w:sz w:val="22"/>
                <w:szCs w:val="22"/>
              </w:rPr>
            </w:pPr>
            <w:r w:rsidRPr="00C42F15">
              <w:rPr>
                <w:sz w:val="22"/>
                <w:szCs w:val="22"/>
              </w:rPr>
              <w:t>1) Incorporate data provided by Members, Cooperating Non-Members and Participating Territories (CCMs) under the Commission’s data provision policy into existing databases and facilitate access of Commission secretariat staff to those data as appropriate.</w:t>
            </w:r>
          </w:p>
        </w:tc>
        <w:tc>
          <w:tcPr>
            <w:tcW w:w="2520" w:type="dxa"/>
          </w:tcPr>
          <w:p w:rsidR="000254E4" w:rsidRPr="00C42F15" w:rsidRDefault="000254E4" w:rsidP="000254E4">
            <w:pPr>
              <w:pStyle w:val="ListParagraph"/>
              <w:numPr>
                <w:ilvl w:val="0"/>
                <w:numId w:val="17"/>
              </w:numPr>
              <w:ind w:left="144" w:hanging="144"/>
              <w:contextualSpacing/>
              <w:rPr>
                <w:sz w:val="22"/>
                <w:szCs w:val="22"/>
              </w:rPr>
            </w:pPr>
            <w:r w:rsidRPr="00C42F15">
              <w:rPr>
                <w:sz w:val="22"/>
                <w:szCs w:val="22"/>
              </w:rPr>
              <w:t>Databases updated</w:t>
            </w:r>
          </w:p>
          <w:p w:rsidR="000254E4" w:rsidRPr="00C42F15" w:rsidRDefault="000254E4" w:rsidP="000254E4">
            <w:pPr>
              <w:pStyle w:val="ListParagraph"/>
              <w:numPr>
                <w:ilvl w:val="0"/>
                <w:numId w:val="17"/>
              </w:numPr>
              <w:ind w:left="144" w:hanging="144"/>
              <w:contextualSpacing/>
              <w:rPr>
                <w:sz w:val="22"/>
                <w:szCs w:val="22"/>
              </w:rPr>
            </w:pPr>
            <w:r w:rsidRPr="00C42F15">
              <w:rPr>
                <w:sz w:val="22"/>
                <w:szCs w:val="22"/>
              </w:rPr>
              <w:t>Updated CES software installed at WCPFC headquarters</w:t>
            </w:r>
          </w:p>
          <w:p w:rsidR="000254E4" w:rsidRPr="00C42F15" w:rsidRDefault="000254E4" w:rsidP="000254E4">
            <w:pPr>
              <w:pStyle w:val="ListParagraph"/>
              <w:numPr>
                <w:ilvl w:val="0"/>
                <w:numId w:val="17"/>
              </w:numPr>
              <w:ind w:left="144" w:hanging="144"/>
              <w:contextualSpacing/>
              <w:rPr>
                <w:sz w:val="22"/>
                <w:szCs w:val="22"/>
              </w:rPr>
            </w:pPr>
            <w:r w:rsidRPr="00C42F15">
              <w:rPr>
                <w:sz w:val="22"/>
                <w:szCs w:val="22"/>
              </w:rPr>
              <w:t>Staff training as required</w:t>
            </w:r>
          </w:p>
        </w:tc>
        <w:tc>
          <w:tcPr>
            <w:tcW w:w="1350" w:type="dxa"/>
          </w:tcPr>
          <w:p w:rsidR="000254E4" w:rsidRPr="00C42F15" w:rsidRDefault="000254E4" w:rsidP="00DB7515">
            <w:pPr>
              <w:rPr>
                <w:sz w:val="22"/>
                <w:szCs w:val="22"/>
              </w:rPr>
            </w:pPr>
            <w:r w:rsidRPr="00C42F15">
              <w:rPr>
                <w:sz w:val="22"/>
                <w:szCs w:val="22"/>
              </w:rPr>
              <w:t>January-December</w:t>
            </w:r>
          </w:p>
        </w:tc>
        <w:tc>
          <w:tcPr>
            <w:tcW w:w="1828" w:type="dxa"/>
          </w:tcPr>
          <w:p w:rsidR="000254E4" w:rsidRPr="00C42F15" w:rsidRDefault="000254E4" w:rsidP="00DB7515">
            <w:pPr>
              <w:rPr>
                <w:sz w:val="22"/>
                <w:szCs w:val="22"/>
              </w:rPr>
            </w:pPr>
          </w:p>
        </w:tc>
      </w:tr>
      <w:tr w:rsidR="000254E4" w:rsidRPr="00C42F15" w:rsidTr="00DB7515">
        <w:trPr>
          <w:tblHeader/>
        </w:trPr>
        <w:tc>
          <w:tcPr>
            <w:tcW w:w="1098" w:type="dxa"/>
            <w:tcBorders>
              <w:bottom w:val="single" w:sz="4" w:space="0" w:color="auto"/>
            </w:tcBorders>
          </w:tcPr>
          <w:p w:rsidR="000254E4" w:rsidRPr="00C42F15" w:rsidRDefault="000254E4" w:rsidP="00DB7515">
            <w:pPr>
              <w:jc w:val="center"/>
              <w:rPr>
                <w:sz w:val="22"/>
                <w:szCs w:val="22"/>
              </w:rPr>
            </w:pPr>
          </w:p>
        </w:tc>
        <w:tc>
          <w:tcPr>
            <w:tcW w:w="7380" w:type="dxa"/>
            <w:tcBorders>
              <w:bottom w:val="single" w:sz="4" w:space="0" w:color="auto"/>
            </w:tcBorders>
          </w:tcPr>
          <w:p w:rsidR="000254E4" w:rsidRPr="00C42F15" w:rsidRDefault="000254E4" w:rsidP="00DB7515">
            <w:pPr>
              <w:pStyle w:val="ListParagraph"/>
              <w:ind w:left="0"/>
              <w:rPr>
                <w:sz w:val="22"/>
                <w:szCs w:val="22"/>
              </w:rPr>
            </w:pPr>
            <w:r w:rsidRPr="00C42F15">
              <w:rPr>
                <w:sz w:val="22"/>
                <w:szCs w:val="22"/>
              </w:rPr>
              <w:t>2) Determine the status of the provision of scientific data to the Commission (CMM-2009-01, paragraphs 40-41)</w:t>
            </w:r>
          </w:p>
        </w:tc>
        <w:tc>
          <w:tcPr>
            <w:tcW w:w="2520" w:type="dxa"/>
            <w:tcBorders>
              <w:bottom w:val="single" w:sz="4" w:space="0" w:color="auto"/>
            </w:tcBorders>
          </w:tcPr>
          <w:p w:rsidR="000254E4" w:rsidRPr="00C42F15" w:rsidRDefault="000254E4" w:rsidP="000254E4">
            <w:pPr>
              <w:pStyle w:val="ListParagraph"/>
              <w:numPr>
                <w:ilvl w:val="0"/>
                <w:numId w:val="18"/>
              </w:numPr>
              <w:ind w:left="144" w:hanging="144"/>
              <w:contextualSpacing/>
              <w:rPr>
                <w:sz w:val="22"/>
                <w:szCs w:val="22"/>
              </w:rPr>
            </w:pPr>
            <w:r w:rsidRPr="00C42F15">
              <w:rPr>
                <w:sz w:val="22"/>
                <w:szCs w:val="22"/>
              </w:rPr>
              <w:t>SC / TCC papers</w:t>
            </w:r>
          </w:p>
          <w:p w:rsidR="000254E4" w:rsidRPr="00C42F15" w:rsidRDefault="000254E4" w:rsidP="000254E4">
            <w:pPr>
              <w:pStyle w:val="ListParagraph"/>
              <w:numPr>
                <w:ilvl w:val="0"/>
                <w:numId w:val="18"/>
              </w:numPr>
              <w:ind w:left="144" w:hanging="144"/>
              <w:contextualSpacing/>
              <w:rPr>
                <w:sz w:val="22"/>
                <w:szCs w:val="22"/>
              </w:rPr>
            </w:pPr>
            <w:r w:rsidRPr="00C42F15">
              <w:rPr>
                <w:sz w:val="22"/>
                <w:szCs w:val="22"/>
              </w:rPr>
              <w:t>Continued refinement of the web-based utility to identify data gaps</w:t>
            </w:r>
          </w:p>
        </w:tc>
        <w:tc>
          <w:tcPr>
            <w:tcW w:w="1350" w:type="dxa"/>
            <w:tcBorders>
              <w:bottom w:val="single" w:sz="4" w:space="0" w:color="auto"/>
            </w:tcBorders>
          </w:tcPr>
          <w:p w:rsidR="000254E4" w:rsidRPr="00C42F15" w:rsidRDefault="000254E4" w:rsidP="00DB7515">
            <w:pPr>
              <w:rPr>
                <w:sz w:val="22"/>
                <w:szCs w:val="22"/>
              </w:rPr>
            </w:pPr>
            <w:r w:rsidRPr="00C42F15">
              <w:rPr>
                <w:sz w:val="22"/>
                <w:szCs w:val="22"/>
              </w:rPr>
              <w:t>Mid-July and mid-Sept</w:t>
            </w:r>
          </w:p>
        </w:tc>
        <w:tc>
          <w:tcPr>
            <w:tcW w:w="1828" w:type="dxa"/>
            <w:tcBorders>
              <w:bottom w:val="single" w:sz="4" w:space="0" w:color="auto"/>
            </w:tcBorders>
          </w:tcPr>
          <w:p w:rsidR="000254E4" w:rsidRPr="00C42F15" w:rsidRDefault="000254E4" w:rsidP="00DB7515">
            <w:pPr>
              <w:rPr>
                <w:sz w:val="22"/>
                <w:szCs w:val="22"/>
              </w:rPr>
            </w:pPr>
          </w:p>
        </w:tc>
      </w:tr>
      <w:tr w:rsidR="000254E4" w:rsidRPr="00C42F15" w:rsidTr="00DB7515">
        <w:trPr>
          <w:tblHeader/>
        </w:trPr>
        <w:tc>
          <w:tcPr>
            <w:tcW w:w="1098" w:type="dxa"/>
            <w:shd w:val="clear" w:color="auto" w:fill="000000" w:themeFill="text1"/>
          </w:tcPr>
          <w:p w:rsidR="000254E4" w:rsidRPr="00C42F15" w:rsidRDefault="000254E4" w:rsidP="00DB7515">
            <w:pPr>
              <w:jc w:val="center"/>
              <w:rPr>
                <w:sz w:val="22"/>
                <w:szCs w:val="22"/>
              </w:rPr>
            </w:pPr>
          </w:p>
        </w:tc>
        <w:tc>
          <w:tcPr>
            <w:tcW w:w="7380" w:type="dxa"/>
            <w:shd w:val="clear" w:color="auto" w:fill="000000" w:themeFill="text1"/>
          </w:tcPr>
          <w:p w:rsidR="000254E4" w:rsidRPr="00C42F15" w:rsidRDefault="000254E4" w:rsidP="00DB7515">
            <w:pPr>
              <w:rPr>
                <w:sz w:val="22"/>
                <w:szCs w:val="22"/>
              </w:rPr>
            </w:pPr>
          </w:p>
        </w:tc>
        <w:tc>
          <w:tcPr>
            <w:tcW w:w="2520" w:type="dxa"/>
            <w:shd w:val="clear" w:color="auto" w:fill="000000" w:themeFill="text1"/>
          </w:tcPr>
          <w:p w:rsidR="000254E4" w:rsidRPr="00C42F15" w:rsidRDefault="000254E4" w:rsidP="00DB7515">
            <w:pPr>
              <w:rPr>
                <w:sz w:val="22"/>
                <w:szCs w:val="22"/>
              </w:rPr>
            </w:pPr>
          </w:p>
        </w:tc>
        <w:tc>
          <w:tcPr>
            <w:tcW w:w="1350" w:type="dxa"/>
            <w:shd w:val="clear" w:color="auto" w:fill="000000" w:themeFill="text1"/>
          </w:tcPr>
          <w:p w:rsidR="000254E4" w:rsidRPr="00C42F15" w:rsidRDefault="000254E4" w:rsidP="00DB7515">
            <w:pPr>
              <w:rPr>
                <w:sz w:val="22"/>
                <w:szCs w:val="22"/>
              </w:rPr>
            </w:pPr>
          </w:p>
        </w:tc>
        <w:tc>
          <w:tcPr>
            <w:tcW w:w="1828" w:type="dxa"/>
            <w:shd w:val="clear" w:color="auto" w:fill="000000" w:themeFill="text1"/>
          </w:tcPr>
          <w:p w:rsidR="000254E4" w:rsidRPr="00C42F15" w:rsidRDefault="000254E4" w:rsidP="00DB7515">
            <w:pPr>
              <w:rPr>
                <w:sz w:val="22"/>
                <w:szCs w:val="22"/>
              </w:rPr>
            </w:pPr>
          </w:p>
        </w:tc>
      </w:tr>
      <w:tr w:rsidR="000254E4" w:rsidRPr="00C42F15" w:rsidTr="00DB7515">
        <w:trPr>
          <w:tblHeader/>
        </w:trPr>
        <w:tc>
          <w:tcPr>
            <w:tcW w:w="1098" w:type="dxa"/>
          </w:tcPr>
          <w:p w:rsidR="000254E4" w:rsidRPr="00C42F15" w:rsidRDefault="000254E4" w:rsidP="00DB7515">
            <w:pPr>
              <w:jc w:val="center"/>
              <w:rPr>
                <w:b/>
                <w:sz w:val="22"/>
                <w:szCs w:val="22"/>
              </w:rPr>
            </w:pPr>
            <w:r w:rsidRPr="00C42F15">
              <w:rPr>
                <w:b/>
                <w:sz w:val="22"/>
                <w:szCs w:val="22"/>
              </w:rPr>
              <w:t>ii.</w:t>
            </w:r>
          </w:p>
          <w:p w:rsidR="000254E4" w:rsidRPr="00C42F15" w:rsidRDefault="000254E4" w:rsidP="00DB7515">
            <w:pPr>
              <w:jc w:val="center"/>
              <w:rPr>
                <w:b/>
                <w:sz w:val="22"/>
                <w:szCs w:val="22"/>
              </w:rPr>
            </w:pPr>
            <w:r w:rsidRPr="00C42F15">
              <w:rPr>
                <w:b/>
                <w:sz w:val="22"/>
                <w:szCs w:val="22"/>
              </w:rPr>
              <w:t>(2,3,6)</w:t>
            </w:r>
          </w:p>
        </w:tc>
        <w:tc>
          <w:tcPr>
            <w:tcW w:w="7380" w:type="dxa"/>
            <w:vAlign w:val="center"/>
          </w:tcPr>
          <w:p w:rsidR="000254E4" w:rsidRPr="00C42F15" w:rsidRDefault="000254E4" w:rsidP="00DB7515">
            <w:pPr>
              <w:rPr>
                <w:b/>
                <w:i/>
                <w:sz w:val="22"/>
                <w:szCs w:val="22"/>
              </w:rPr>
            </w:pPr>
            <w:r w:rsidRPr="00C42F15">
              <w:rPr>
                <w:b/>
                <w:i/>
                <w:sz w:val="22"/>
                <w:szCs w:val="22"/>
              </w:rPr>
              <w:t>Compilation of catch and effort estimates</w:t>
            </w:r>
          </w:p>
        </w:tc>
        <w:tc>
          <w:tcPr>
            <w:tcW w:w="2520" w:type="dxa"/>
          </w:tcPr>
          <w:p w:rsidR="000254E4" w:rsidRPr="00C42F15" w:rsidRDefault="000254E4" w:rsidP="00DB7515">
            <w:pPr>
              <w:rPr>
                <w:sz w:val="22"/>
                <w:szCs w:val="22"/>
              </w:rPr>
            </w:pPr>
          </w:p>
        </w:tc>
        <w:tc>
          <w:tcPr>
            <w:tcW w:w="1350" w:type="dxa"/>
          </w:tcPr>
          <w:p w:rsidR="000254E4" w:rsidRPr="00C42F15" w:rsidRDefault="000254E4" w:rsidP="00DB7515">
            <w:pPr>
              <w:rPr>
                <w:sz w:val="22"/>
                <w:szCs w:val="22"/>
              </w:rPr>
            </w:pPr>
          </w:p>
        </w:tc>
        <w:tc>
          <w:tcPr>
            <w:tcW w:w="1828" w:type="dxa"/>
          </w:tcPr>
          <w:p w:rsidR="000254E4" w:rsidRPr="00C42F15" w:rsidRDefault="000254E4" w:rsidP="00DB7515">
            <w:pPr>
              <w:rPr>
                <w:sz w:val="22"/>
                <w:szCs w:val="22"/>
              </w:rPr>
            </w:pPr>
          </w:p>
        </w:tc>
      </w:tr>
      <w:tr w:rsidR="000254E4" w:rsidRPr="00C42F15" w:rsidTr="00DB7515">
        <w:trPr>
          <w:tblHeader/>
        </w:trPr>
        <w:tc>
          <w:tcPr>
            <w:tcW w:w="1098" w:type="dxa"/>
          </w:tcPr>
          <w:p w:rsidR="000254E4" w:rsidRPr="00C42F15" w:rsidRDefault="000254E4" w:rsidP="00DB7515">
            <w:pPr>
              <w:jc w:val="center"/>
              <w:rPr>
                <w:sz w:val="22"/>
                <w:szCs w:val="22"/>
              </w:rPr>
            </w:pPr>
          </w:p>
        </w:tc>
        <w:tc>
          <w:tcPr>
            <w:tcW w:w="7380" w:type="dxa"/>
          </w:tcPr>
          <w:p w:rsidR="000254E4" w:rsidRPr="00C42F15" w:rsidRDefault="000254E4" w:rsidP="00DB7515">
            <w:pPr>
              <w:rPr>
                <w:sz w:val="22"/>
                <w:szCs w:val="22"/>
              </w:rPr>
            </w:pPr>
            <w:r w:rsidRPr="00C42F15">
              <w:rPr>
                <w:sz w:val="22"/>
                <w:szCs w:val="22"/>
              </w:rPr>
              <w:t>1) Compile estimates of annual catches by species, gear type and flag, as specified in the procedures for Scientific Data to be Provided to the Commission AND in support of the functions of the Commission and its subsidiary bodies</w:t>
            </w:r>
          </w:p>
        </w:tc>
        <w:tc>
          <w:tcPr>
            <w:tcW w:w="2520" w:type="dxa"/>
          </w:tcPr>
          <w:p w:rsidR="000254E4" w:rsidRPr="00C42F15" w:rsidRDefault="000254E4" w:rsidP="00DB7515">
            <w:pPr>
              <w:rPr>
                <w:sz w:val="22"/>
                <w:szCs w:val="22"/>
              </w:rPr>
            </w:pPr>
            <w:r w:rsidRPr="00C42F15">
              <w:rPr>
                <w:sz w:val="22"/>
                <w:szCs w:val="22"/>
              </w:rPr>
              <w:t>SC papers</w:t>
            </w:r>
          </w:p>
          <w:p w:rsidR="000254E4" w:rsidRPr="00C42F15" w:rsidRDefault="000254E4" w:rsidP="00DB7515">
            <w:pPr>
              <w:rPr>
                <w:sz w:val="22"/>
                <w:szCs w:val="22"/>
              </w:rPr>
            </w:pPr>
          </w:p>
        </w:tc>
        <w:tc>
          <w:tcPr>
            <w:tcW w:w="1350" w:type="dxa"/>
          </w:tcPr>
          <w:p w:rsidR="000254E4" w:rsidRPr="00C42F15" w:rsidRDefault="000254E4" w:rsidP="00DB7515">
            <w:pPr>
              <w:rPr>
                <w:sz w:val="22"/>
                <w:szCs w:val="22"/>
              </w:rPr>
            </w:pPr>
            <w:r w:rsidRPr="00C42F15">
              <w:rPr>
                <w:sz w:val="22"/>
                <w:szCs w:val="22"/>
              </w:rPr>
              <w:t>Mid-July</w:t>
            </w:r>
          </w:p>
        </w:tc>
        <w:tc>
          <w:tcPr>
            <w:tcW w:w="1828" w:type="dxa"/>
          </w:tcPr>
          <w:p w:rsidR="000254E4" w:rsidRPr="00C42F15" w:rsidRDefault="000254E4" w:rsidP="00DB7515">
            <w:pPr>
              <w:rPr>
                <w:sz w:val="22"/>
                <w:szCs w:val="22"/>
              </w:rPr>
            </w:pPr>
          </w:p>
        </w:tc>
      </w:tr>
      <w:tr w:rsidR="000254E4" w:rsidRPr="00C42F15" w:rsidTr="00DB7515">
        <w:trPr>
          <w:tblHeader/>
        </w:trPr>
        <w:tc>
          <w:tcPr>
            <w:tcW w:w="1098" w:type="dxa"/>
          </w:tcPr>
          <w:p w:rsidR="000254E4" w:rsidRPr="00C42F15" w:rsidRDefault="000254E4" w:rsidP="00DB7515">
            <w:pPr>
              <w:jc w:val="center"/>
              <w:rPr>
                <w:sz w:val="22"/>
                <w:szCs w:val="22"/>
              </w:rPr>
            </w:pPr>
          </w:p>
        </w:tc>
        <w:tc>
          <w:tcPr>
            <w:tcW w:w="7380" w:type="dxa"/>
          </w:tcPr>
          <w:p w:rsidR="000254E4" w:rsidRPr="00C42F15" w:rsidRDefault="000254E4" w:rsidP="00DB7515">
            <w:pPr>
              <w:rPr>
                <w:sz w:val="22"/>
                <w:szCs w:val="22"/>
              </w:rPr>
            </w:pPr>
            <w:r w:rsidRPr="00C42F15">
              <w:rPr>
                <w:sz w:val="22"/>
                <w:szCs w:val="22"/>
              </w:rPr>
              <w:t>2) Estimates of annual catches by vessel flag, EEZ, archipelagic waters, and IATTC/WCPFC overlap area for use in determining the catch component of the Commission’s assessed contributions</w:t>
            </w:r>
          </w:p>
        </w:tc>
        <w:tc>
          <w:tcPr>
            <w:tcW w:w="2520" w:type="dxa"/>
          </w:tcPr>
          <w:p w:rsidR="000254E4" w:rsidRPr="00C42F15" w:rsidRDefault="000254E4" w:rsidP="00DB7515">
            <w:pPr>
              <w:rPr>
                <w:sz w:val="22"/>
                <w:szCs w:val="22"/>
              </w:rPr>
            </w:pPr>
            <w:r w:rsidRPr="00C42F15">
              <w:rPr>
                <w:sz w:val="22"/>
                <w:szCs w:val="22"/>
              </w:rPr>
              <w:t>Catch table</w:t>
            </w:r>
          </w:p>
        </w:tc>
        <w:tc>
          <w:tcPr>
            <w:tcW w:w="1350" w:type="dxa"/>
          </w:tcPr>
          <w:p w:rsidR="000254E4" w:rsidRPr="00C42F15" w:rsidRDefault="000254E4" w:rsidP="00DB7515">
            <w:pPr>
              <w:rPr>
                <w:sz w:val="22"/>
                <w:szCs w:val="22"/>
              </w:rPr>
            </w:pPr>
            <w:r w:rsidRPr="00C42F15">
              <w:rPr>
                <w:sz w:val="22"/>
                <w:szCs w:val="22"/>
              </w:rPr>
              <w:t>Mid-Sept</w:t>
            </w:r>
          </w:p>
        </w:tc>
        <w:tc>
          <w:tcPr>
            <w:tcW w:w="1828" w:type="dxa"/>
          </w:tcPr>
          <w:p w:rsidR="000254E4" w:rsidRPr="00C42F15" w:rsidRDefault="000254E4" w:rsidP="00DB7515">
            <w:pPr>
              <w:rPr>
                <w:sz w:val="22"/>
                <w:szCs w:val="22"/>
              </w:rPr>
            </w:pPr>
          </w:p>
        </w:tc>
      </w:tr>
      <w:tr w:rsidR="000254E4" w:rsidRPr="00C42F15" w:rsidTr="00DB7515">
        <w:trPr>
          <w:tblHeader/>
        </w:trPr>
        <w:tc>
          <w:tcPr>
            <w:tcW w:w="1098" w:type="dxa"/>
            <w:tcBorders>
              <w:bottom w:val="single" w:sz="4" w:space="0" w:color="auto"/>
            </w:tcBorders>
          </w:tcPr>
          <w:p w:rsidR="000254E4" w:rsidRPr="00C42F15" w:rsidRDefault="000254E4" w:rsidP="00DB7515">
            <w:pPr>
              <w:jc w:val="center"/>
              <w:rPr>
                <w:sz w:val="22"/>
                <w:szCs w:val="22"/>
              </w:rPr>
            </w:pPr>
          </w:p>
        </w:tc>
        <w:tc>
          <w:tcPr>
            <w:tcW w:w="7380" w:type="dxa"/>
            <w:tcBorders>
              <w:bottom w:val="single" w:sz="4" w:space="0" w:color="auto"/>
            </w:tcBorders>
          </w:tcPr>
          <w:p w:rsidR="000254E4" w:rsidRPr="00C42F15" w:rsidRDefault="000254E4" w:rsidP="00DB7515">
            <w:pPr>
              <w:rPr>
                <w:sz w:val="22"/>
                <w:szCs w:val="22"/>
              </w:rPr>
            </w:pPr>
            <w:r w:rsidRPr="00C42F15">
              <w:rPr>
                <w:sz w:val="22"/>
                <w:szCs w:val="22"/>
              </w:rPr>
              <w:t>3) For catches for which estimates are not otherwise available, conduct statistical analyses to estimate catches, particularly in regard to (a) purse-seine catches of bigeye tuna and yellowfin tuna, (b) discards of target tuna species, and (c) catches of non-target species</w:t>
            </w:r>
          </w:p>
        </w:tc>
        <w:tc>
          <w:tcPr>
            <w:tcW w:w="2520" w:type="dxa"/>
            <w:tcBorders>
              <w:bottom w:val="single" w:sz="4" w:space="0" w:color="auto"/>
            </w:tcBorders>
          </w:tcPr>
          <w:p w:rsidR="000254E4" w:rsidRPr="00C42F15" w:rsidRDefault="000254E4" w:rsidP="00DB7515">
            <w:pPr>
              <w:rPr>
                <w:sz w:val="22"/>
                <w:szCs w:val="22"/>
              </w:rPr>
            </w:pPr>
            <w:r w:rsidRPr="00C42F15">
              <w:rPr>
                <w:sz w:val="22"/>
                <w:szCs w:val="22"/>
              </w:rPr>
              <w:t>SC papers</w:t>
            </w:r>
          </w:p>
        </w:tc>
        <w:tc>
          <w:tcPr>
            <w:tcW w:w="1350" w:type="dxa"/>
            <w:tcBorders>
              <w:bottom w:val="single" w:sz="4" w:space="0" w:color="auto"/>
            </w:tcBorders>
          </w:tcPr>
          <w:p w:rsidR="000254E4" w:rsidRPr="00C42F15" w:rsidRDefault="000254E4" w:rsidP="00DB7515">
            <w:pPr>
              <w:rPr>
                <w:sz w:val="22"/>
                <w:szCs w:val="22"/>
              </w:rPr>
            </w:pPr>
            <w:r w:rsidRPr="00C42F15">
              <w:rPr>
                <w:sz w:val="22"/>
                <w:szCs w:val="22"/>
              </w:rPr>
              <w:t>Mid-July</w:t>
            </w:r>
          </w:p>
        </w:tc>
        <w:tc>
          <w:tcPr>
            <w:tcW w:w="1828" w:type="dxa"/>
            <w:tcBorders>
              <w:bottom w:val="single" w:sz="4" w:space="0" w:color="auto"/>
            </w:tcBorders>
          </w:tcPr>
          <w:p w:rsidR="000254E4" w:rsidRPr="00C42F15" w:rsidRDefault="000254E4" w:rsidP="00DB7515">
            <w:pPr>
              <w:rPr>
                <w:sz w:val="22"/>
                <w:szCs w:val="22"/>
              </w:rPr>
            </w:pPr>
          </w:p>
        </w:tc>
      </w:tr>
      <w:tr w:rsidR="000254E4" w:rsidRPr="00C42F15" w:rsidTr="00DB7515">
        <w:trPr>
          <w:tblHeader/>
        </w:trPr>
        <w:tc>
          <w:tcPr>
            <w:tcW w:w="1098" w:type="dxa"/>
            <w:shd w:val="clear" w:color="auto" w:fill="000000" w:themeFill="text1"/>
          </w:tcPr>
          <w:p w:rsidR="000254E4" w:rsidRPr="00C42F15" w:rsidRDefault="000254E4" w:rsidP="00DB7515">
            <w:pPr>
              <w:jc w:val="center"/>
              <w:rPr>
                <w:sz w:val="22"/>
                <w:szCs w:val="22"/>
              </w:rPr>
            </w:pPr>
          </w:p>
        </w:tc>
        <w:tc>
          <w:tcPr>
            <w:tcW w:w="7380" w:type="dxa"/>
            <w:shd w:val="clear" w:color="auto" w:fill="000000" w:themeFill="text1"/>
          </w:tcPr>
          <w:p w:rsidR="000254E4" w:rsidRPr="00C42F15" w:rsidRDefault="000254E4" w:rsidP="00DB7515">
            <w:pPr>
              <w:rPr>
                <w:sz w:val="22"/>
                <w:szCs w:val="22"/>
              </w:rPr>
            </w:pPr>
          </w:p>
        </w:tc>
        <w:tc>
          <w:tcPr>
            <w:tcW w:w="2520" w:type="dxa"/>
            <w:shd w:val="clear" w:color="auto" w:fill="000000" w:themeFill="text1"/>
          </w:tcPr>
          <w:p w:rsidR="000254E4" w:rsidRPr="00C42F15" w:rsidRDefault="000254E4" w:rsidP="00DB7515">
            <w:pPr>
              <w:rPr>
                <w:sz w:val="22"/>
                <w:szCs w:val="22"/>
              </w:rPr>
            </w:pPr>
          </w:p>
        </w:tc>
        <w:tc>
          <w:tcPr>
            <w:tcW w:w="1350" w:type="dxa"/>
            <w:shd w:val="clear" w:color="auto" w:fill="000000" w:themeFill="text1"/>
          </w:tcPr>
          <w:p w:rsidR="000254E4" w:rsidRPr="00C42F15" w:rsidRDefault="000254E4" w:rsidP="00DB7515">
            <w:pPr>
              <w:rPr>
                <w:sz w:val="22"/>
                <w:szCs w:val="22"/>
              </w:rPr>
            </w:pPr>
          </w:p>
        </w:tc>
        <w:tc>
          <w:tcPr>
            <w:tcW w:w="1828" w:type="dxa"/>
            <w:shd w:val="clear" w:color="auto" w:fill="000000" w:themeFill="text1"/>
          </w:tcPr>
          <w:p w:rsidR="000254E4" w:rsidRPr="00C42F15" w:rsidRDefault="000254E4" w:rsidP="00DB7515">
            <w:pPr>
              <w:rPr>
                <w:sz w:val="22"/>
                <w:szCs w:val="22"/>
              </w:rPr>
            </w:pPr>
          </w:p>
        </w:tc>
      </w:tr>
      <w:tr w:rsidR="000254E4" w:rsidRPr="00C42F15" w:rsidTr="00DB7515">
        <w:trPr>
          <w:tblHeader/>
        </w:trPr>
        <w:tc>
          <w:tcPr>
            <w:tcW w:w="1098" w:type="dxa"/>
          </w:tcPr>
          <w:p w:rsidR="000254E4" w:rsidRPr="00C42F15" w:rsidRDefault="000254E4" w:rsidP="00DB7515">
            <w:pPr>
              <w:jc w:val="center"/>
              <w:rPr>
                <w:b/>
                <w:sz w:val="22"/>
                <w:szCs w:val="22"/>
              </w:rPr>
            </w:pPr>
            <w:r w:rsidRPr="00C42F15">
              <w:rPr>
                <w:b/>
                <w:sz w:val="22"/>
                <w:szCs w:val="22"/>
              </w:rPr>
              <w:t>iii.</w:t>
            </w:r>
          </w:p>
          <w:p w:rsidR="000254E4" w:rsidRPr="00C42F15" w:rsidRDefault="000254E4" w:rsidP="00DB7515">
            <w:pPr>
              <w:jc w:val="center"/>
              <w:rPr>
                <w:b/>
                <w:sz w:val="22"/>
                <w:szCs w:val="22"/>
              </w:rPr>
            </w:pPr>
            <w:r w:rsidRPr="00C42F15">
              <w:rPr>
                <w:b/>
                <w:sz w:val="22"/>
                <w:szCs w:val="22"/>
              </w:rPr>
              <w:t>(4,5,7)</w:t>
            </w:r>
          </w:p>
        </w:tc>
        <w:tc>
          <w:tcPr>
            <w:tcW w:w="7380" w:type="dxa"/>
            <w:vAlign w:val="center"/>
          </w:tcPr>
          <w:p w:rsidR="000254E4" w:rsidRPr="00C42F15" w:rsidRDefault="000254E4" w:rsidP="00DB7515">
            <w:pPr>
              <w:rPr>
                <w:b/>
                <w:i/>
                <w:sz w:val="22"/>
                <w:szCs w:val="22"/>
              </w:rPr>
            </w:pPr>
            <w:r w:rsidRPr="00C42F15">
              <w:rPr>
                <w:b/>
                <w:i/>
                <w:sz w:val="22"/>
                <w:szCs w:val="22"/>
              </w:rPr>
              <w:t>Data dissemination</w:t>
            </w:r>
          </w:p>
        </w:tc>
        <w:tc>
          <w:tcPr>
            <w:tcW w:w="2520" w:type="dxa"/>
          </w:tcPr>
          <w:p w:rsidR="000254E4" w:rsidRPr="00C42F15" w:rsidRDefault="000254E4" w:rsidP="00DB7515">
            <w:pPr>
              <w:rPr>
                <w:sz w:val="22"/>
                <w:szCs w:val="22"/>
              </w:rPr>
            </w:pPr>
          </w:p>
        </w:tc>
        <w:tc>
          <w:tcPr>
            <w:tcW w:w="1350" w:type="dxa"/>
          </w:tcPr>
          <w:p w:rsidR="000254E4" w:rsidRPr="00C42F15" w:rsidRDefault="000254E4" w:rsidP="00DB7515">
            <w:pPr>
              <w:rPr>
                <w:sz w:val="22"/>
                <w:szCs w:val="22"/>
              </w:rPr>
            </w:pPr>
          </w:p>
        </w:tc>
        <w:tc>
          <w:tcPr>
            <w:tcW w:w="1828" w:type="dxa"/>
          </w:tcPr>
          <w:p w:rsidR="000254E4" w:rsidRPr="00C42F15" w:rsidRDefault="000254E4" w:rsidP="00DB7515">
            <w:pPr>
              <w:rPr>
                <w:sz w:val="22"/>
                <w:szCs w:val="22"/>
              </w:rPr>
            </w:pPr>
          </w:p>
        </w:tc>
      </w:tr>
      <w:tr w:rsidR="000254E4" w:rsidRPr="00C42F15" w:rsidTr="00DB7515">
        <w:trPr>
          <w:tblHeader/>
        </w:trPr>
        <w:tc>
          <w:tcPr>
            <w:tcW w:w="1098" w:type="dxa"/>
          </w:tcPr>
          <w:p w:rsidR="000254E4" w:rsidRPr="00C42F15" w:rsidRDefault="000254E4" w:rsidP="00DB7515">
            <w:pPr>
              <w:jc w:val="center"/>
              <w:rPr>
                <w:sz w:val="22"/>
                <w:szCs w:val="22"/>
              </w:rPr>
            </w:pPr>
          </w:p>
        </w:tc>
        <w:tc>
          <w:tcPr>
            <w:tcW w:w="7380" w:type="dxa"/>
          </w:tcPr>
          <w:p w:rsidR="000254E4" w:rsidRPr="00C42F15" w:rsidRDefault="000254E4" w:rsidP="00DB7515">
            <w:pPr>
              <w:rPr>
                <w:sz w:val="22"/>
                <w:szCs w:val="22"/>
              </w:rPr>
            </w:pPr>
            <w:r w:rsidRPr="00C42F15">
              <w:rPr>
                <w:sz w:val="22"/>
                <w:szCs w:val="22"/>
              </w:rPr>
              <w:t>1) Produce and publish on the Commission’s website the Tuna Fishery Yearbook, containing annual catch estimates by gear type, flag and species.</w:t>
            </w:r>
          </w:p>
        </w:tc>
        <w:tc>
          <w:tcPr>
            <w:tcW w:w="2520" w:type="dxa"/>
          </w:tcPr>
          <w:p w:rsidR="000254E4" w:rsidRPr="00C42F15" w:rsidRDefault="000254E4" w:rsidP="00DB7515">
            <w:pPr>
              <w:rPr>
                <w:sz w:val="22"/>
                <w:szCs w:val="22"/>
              </w:rPr>
            </w:pPr>
            <w:r w:rsidRPr="00C42F15">
              <w:rPr>
                <w:sz w:val="22"/>
                <w:szCs w:val="22"/>
              </w:rPr>
              <w:t>Yearbook published on WCPFC website</w:t>
            </w:r>
          </w:p>
        </w:tc>
        <w:tc>
          <w:tcPr>
            <w:tcW w:w="1350" w:type="dxa"/>
          </w:tcPr>
          <w:p w:rsidR="000254E4" w:rsidRPr="00C42F15" w:rsidRDefault="000254E4" w:rsidP="00DB7515">
            <w:pPr>
              <w:rPr>
                <w:sz w:val="22"/>
                <w:szCs w:val="22"/>
              </w:rPr>
            </w:pPr>
            <w:r w:rsidRPr="00C42F15">
              <w:rPr>
                <w:sz w:val="22"/>
                <w:szCs w:val="22"/>
              </w:rPr>
              <w:t>Dec</w:t>
            </w:r>
          </w:p>
        </w:tc>
        <w:tc>
          <w:tcPr>
            <w:tcW w:w="1828" w:type="dxa"/>
          </w:tcPr>
          <w:p w:rsidR="000254E4" w:rsidRPr="00C42F15" w:rsidRDefault="000254E4" w:rsidP="00DB7515">
            <w:pPr>
              <w:rPr>
                <w:sz w:val="22"/>
                <w:szCs w:val="22"/>
              </w:rPr>
            </w:pPr>
          </w:p>
        </w:tc>
      </w:tr>
      <w:tr w:rsidR="000254E4" w:rsidRPr="00C42F15" w:rsidTr="00DB7515">
        <w:trPr>
          <w:tblHeader/>
        </w:trPr>
        <w:tc>
          <w:tcPr>
            <w:tcW w:w="1098" w:type="dxa"/>
            <w:tcBorders>
              <w:bottom w:val="single" w:sz="4" w:space="0" w:color="auto"/>
            </w:tcBorders>
          </w:tcPr>
          <w:p w:rsidR="000254E4" w:rsidRPr="00C42F15" w:rsidRDefault="000254E4" w:rsidP="00DB7515">
            <w:pPr>
              <w:jc w:val="center"/>
              <w:rPr>
                <w:sz w:val="22"/>
                <w:szCs w:val="22"/>
              </w:rPr>
            </w:pPr>
          </w:p>
        </w:tc>
        <w:tc>
          <w:tcPr>
            <w:tcW w:w="7380" w:type="dxa"/>
            <w:tcBorders>
              <w:bottom w:val="single" w:sz="4" w:space="0" w:color="auto"/>
            </w:tcBorders>
          </w:tcPr>
          <w:p w:rsidR="000254E4" w:rsidRPr="00C42F15" w:rsidRDefault="000254E4" w:rsidP="00DB7515">
            <w:pPr>
              <w:rPr>
                <w:sz w:val="22"/>
                <w:szCs w:val="22"/>
              </w:rPr>
            </w:pPr>
            <w:r w:rsidRPr="00C42F15">
              <w:rPr>
                <w:sz w:val="22"/>
                <w:szCs w:val="22"/>
              </w:rPr>
              <w:t>2) Disseminate public domain catch, effort and size data on the Commission’s website at agreed level of resolution.</w:t>
            </w:r>
          </w:p>
        </w:tc>
        <w:tc>
          <w:tcPr>
            <w:tcW w:w="2520" w:type="dxa"/>
            <w:tcBorders>
              <w:bottom w:val="single" w:sz="4" w:space="0" w:color="auto"/>
            </w:tcBorders>
          </w:tcPr>
          <w:p w:rsidR="000254E4" w:rsidRPr="00C42F15" w:rsidRDefault="000254E4" w:rsidP="00DB7515">
            <w:pPr>
              <w:rPr>
                <w:sz w:val="22"/>
                <w:szCs w:val="22"/>
              </w:rPr>
            </w:pPr>
          </w:p>
        </w:tc>
        <w:tc>
          <w:tcPr>
            <w:tcW w:w="1350" w:type="dxa"/>
            <w:tcBorders>
              <w:bottom w:val="single" w:sz="4" w:space="0" w:color="auto"/>
            </w:tcBorders>
          </w:tcPr>
          <w:p w:rsidR="000254E4" w:rsidRPr="00C42F15" w:rsidRDefault="000254E4" w:rsidP="00DB7515">
            <w:pPr>
              <w:rPr>
                <w:sz w:val="22"/>
                <w:szCs w:val="22"/>
              </w:rPr>
            </w:pPr>
            <w:r w:rsidRPr="00C42F15">
              <w:rPr>
                <w:sz w:val="22"/>
                <w:szCs w:val="22"/>
              </w:rPr>
              <w:t>Jan - Dec</w:t>
            </w:r>
          </w:p>
        </w:tc>
        <w:tc>
          <w:tcPr>
            <w:tcW w:w="1828" w:type="dxa"/>
            <w:tcBorders>
              <w:bottom w:val="single" w:sz="4" w:space="0" w:color="auto"/>
            </w:tcBorders>
          </w:tcPr>
          <w:p w:rsidR="000254E4" w:rsidRPr="00C42F15" w:rsidRDefault="000254E4" w:rsidP="00DB7515">
            <w:pPr>
              <w:rPr>
                <w:sz w:val="22"/>
                <w:szCs w:val="22"/>
              </w:rPr>
            </w:pPr>
          </w:p>
        </w:tc>
      </w:tr>
      <w:tr w:rsidR="000254E4" w:rsidRPr="00C42F15" w:rsidTr="00DB7515">
        <w:trPr>
          <w:tblHeader/>
        </w:trPr>
        <w:tc>
          <w:tcPr>
            <w:tcW w:w="1098" w:type="dxa"/>
            <w:shd w:val="clear" w:color="auto" w:fill="000000" w:themeFill="text1"/>
          </w:tcPr>
          <w:p w:rsidR="000254E4" w:rsidRPr="00C42F15" w:rsidRDefault="000254E4" w:rsidP="00DB7515">
            <w:pPr>
              <w:jc w:val="center"/>
              <w:rPr>
                <w:sz w:val="22"/>
                <w:szCs w:val="22"/>
              </w:rPr>
            </w:pPr>
          </w:p>
        </w:tc>
        <w:tc>
          <w:tcPr>
            <w:tcW w:w="7380" w:type="dxa"/>
            <w:shd w:val="clear" w:color="auto" w:fill="000000" w:themeFill="text1"/>
          </w:tcPr>
          <w:p w:rsidR="000254E4" w:rsidRPr="00C42F15" w:rsidRDefault="000254E4" w:rsidP="00DB7515">
            <w:pPr>
              <w:rPr>
                <w:sz w:val="22"/>
                <w:szCs w:val="22"/>
              </w:rPr>
            </w:pPr>
          </w:p>
        </w:tc>
        <w:tc>
          <w:tcPr>
            <w:tcW w:w="2520" w:type="dxa"/>
            <w:shd w:val="clear" w:color="auto" w:fill="000000" w:themeFill="text1"/>
          </w:tcPr>
          <w:p w:rsidR="000254E4" w:rsidRPr="00C42F15" w:rsidRDefault="000254E4" w:rsidP="00DB7515">
            <w:pPr>
              <w:rPr>
                <w:sz w:val="22"/>
                <w:szCs w:val="22"/>
              </w:rPr>
            </w:pPr>
          </w:p>
        </w:tc>
        <w:tc>
          <w:tcPr>
            <w:tcW w:w="1350" w:type="dxa"/>
            <w:shd w:val="clear" w:color="auto" w:fill="000000" w:themeFill="text1"/>
          </w:tcPr>
          <w:p w:rsidR="000254E4" w:rsidRPr="00C42F15" w:rsidRDefault="000254E4" w:rsidP="00DB7515">
            <w:pPr>
              <w:rPr>
                <w:sz w:val="22"/>
                <w:szCs w:val="22"/>
              </w:rPr>
            </w:pPr>
          </w:p>
        </w:tc>
        <w:tc>
          <w:tcPr>
            <w:tcW w:w="1828" w:type="dxa"/>
            <w:shd w:val="clear" w:color="auto" w:fill="000000" w:themeFill="text1"/>
          </w:tcPr>
          <w:p w:rsidR="000254E4" w:rsidRPr="00C42F15" w:rsidRDefault="000254E4" w:rsidP="00DB7515">
            <w:pPr>
              <w:rPr>
                <w:sz w:val="22"/>
                <w:szCs w:val="22"/>
              </w:rPr>
            </w:pPr>
          </w:p>
        </w:tc>
      </w:tr>
      <w:tr w:rsidR="000254E4" w:rsidRPr="00C42F15" w:rsidTr="00DB7515">
        <w:trPr>
          <w:tblHeader/>
        </w:trPr>
        <w:tc>
          <w:tcPr>
            <w:tcW w:w="1098" w:type="dxa"/>
          </w:tcPr>
          <w:p w:rsidR="000254E4" w:rsidRPr="00C42F15" w:rsidRDefault="000254E4" w:rsidP="00DB7515">
            <w:pPr>
              <w:jc w:val="center"/>
              <w:rPr>
                <w:b/>
                <w:sz w:val="22"/>
                <w:szCs w:val="22"/>
              </w:rPr>
            </w:pPr>
            <w:r w:rsidRPr="00C42F15">
              <w:rPr>
                <w:b/>
                <w:sz w:val="22"/>
                <w:szCs w:val="22"/>
              </w:rPr>
              <w:t>iv.</w:t>
            </w:r>
          </w:p>
          <w:p w:rsidR="000254E4" w:rsidRPr="00C42F15" w:rsidRDefault="000254E4" w:rsidP="00DB7515">
            <w:pPr>
              <w:jc w:val="center"/>
              <w:rPr>
                <w:b/>
                <w:sz w:val="22"/>
                <w:szCs w:val="22"/>
              </w:rPr>
            </w:pPr>
            <w:r w:rsidRPr="00C42F15">
              <w:rPr>
                <w:b/>
                <w:sz w:val="22"/>
                <w:szCs w:val="22"/>
              </w:rPr>
              <w:t>(9)</w:t>
            </w:r>
          </w:p>
        </w:tc>
        <w:tc>
          <w:tcPr>
            <w:tcW w:w="7380" w:type="dxa"/>
            <w:vAlign w:val="center"/>
          </w:tcPr>
          <w:p w:rsidR="000254E4" w:rsidRPr="00C42F15" w:rsidRDefault="000254E4" w:rsidP="00DB7515">
            <w:pPr>
              <w:rPr>
                <w:b/>
                <w:i/>
                <w:sz w:val="22"/>
                <w:szCs w:val="22"/>
              </w:rPr>
            </w:pPr>
            <w:r w:rsidRPr="00C42F15">
              <w:rPr>
                <w:b/>
                <w:i/>
                <w:sz w:val="22"/>
                <w:szCs w:val="22"/>
              </w:rPr>
              <w:t>Technical / policy advice</w:t>
            </w:r>
          </w:p>
        </w:tc>
        <w:tc>
          <w:tcPr>
            <w:tcW w:w="2520" w:type="dxa"/>
          </w:tcPr>
          <w:p w:rsidR="000254E4" w:rsidRPr="00C42F15" w:rsidRDefault="000254E4" w:rsidP="00DB7515">
            <w:pPr>
              <w:rPr>
                <w:sz w:val="22"/>
                <w:szCs w:val="22"/>
              </w:rPr>
            </w:pPr>
          </w:p>
        </w:tc>
        <w:tc>
          <w:tcPr>
            <w:tcW w:w="1350" w:type="dxa"/>
          </w:tcPr>
          <w:p w:rsidR="000254E4" w:rsidRPr="00C42F15" w:rsidRDefault="000254E4" w:rsidP="00DB7515">
            <w:pPr>
              <w:rPr>
                <w:sz w:val="22"/>
                <w:szCs w:val="22"/>
              </w:rPr>
            </w:pPr>
          </w:p>
        </w:tc>
        <w:tc>
          <w:tcPr>
            <w:tcW w:w="1828" w:type="dxa"/>
          </w:tcPr>
          <w:p w:rsidR="000254E4" w:rsidRPr="00C42F15" w:rsidRDefault="000254E4" w:rsidP="00DB7515">
            <w:pPr>
              <w:rPr>
                <w:sz w:val="22"/>
                <w:szCs w:val="22"/>
              </w:rPr>
            </w:pPr>
          </w:p>
        </w:tc>
      </w:tr>
      <w:tr w:rsidR="000254E4" w:rsidRPr="00C42F15" w:rsidTr="00DB7515">
        <w:trPr>
          <w:tblHeader/>
        </w:trPr>
        <w:tc>
          <w:tcPr>
            <w:tcW w:w="1098" w:type="dxa"/>
          </w:tcPr>
          <w:p w:rsidR="000254E4" w:rsidRPr="00C42F15" w:rsidRDefault="000254E4" w:rsidP="00DB7515">
            <w:pPr>
              <w:jc w:val="center"/>
              <w:rPr>
                <w:sz w:val="22"/>
                <w:szCs w:val="22"/>
              </w:rPr>
            </w:pPr>
          </w:p>
        </w:tc>
        <w:tc>
          <w:tcPr>
            <w:tcW w:w="7380" w:type="dxa"/>
          </w:tcPr>
          <w:p w:rsidR="000254E4" w:rsidRPr="00C42F15" w:rsidRDefault="000254E4" w:rsidP="00DB7515">
            <w:pPr>
              <w:rPr>
                <w:sz w:val="22"/>
                <w:szCs w:val="22"/>
              </w:rPr>
            </w:pPr>
            <w:r w:rsidRPr="00C42F15">
              <w:rPr>
                <w:sz w:val="22"/>
                <w:szCs w:val="22"/>
              </w:rPr>
              <w:t>1) Provide ad-hoc advice on science and data-related implications of relevant MCS activities, including, but not limited to: transshipment, the regional observer programme, port sampling, VMS, port state measures, and catch documentation schemes</w:t>
            </w:r>
          </w:p>
        </w:tc>
        <w:tc>
          <w:tcPr>
            <w:tcW w:w="2520" w:type="dxa"/>
          </w:tcPr>
          <w:p w:rsidR="000254E4" w:rsidRPr="00C42F15" w:rsidRDefault="000254E4" w:rsidP="00DB7515">
            <w:pPr>
              <w:rPr>
                <w:sz w:val="22"/>
                <w:szCs w:val="22"/>
              </w:rPr>
            </w:pPr>
            <w:r w:rsidRPr="00C42F15">
              <w:rPr>
                <w:sz w:val="22"/>
                <w:szCs w:val="22"/>
              </w:rPr>
              <w:t>Advice provided on request</w:t>
            </w:r>
          </w:p>
        </w:tc>
        <w:tc>
          <w:tcPr>
            <w:tcW w:w="1350" w:type="dxa"/>
          </w:tcPr>
          <w:p w:rsidR="000254E4" w:rsidRPr="00C42F15" w:rsidRDefault="000254E4" w:rsidP="00DB7515">
            <w:pPr>
              <w:rPr>
                <w:sz w:val="22"/>
                <w:szCs w:val="22"/>
              </w:rPr>
            </w:pPr>
            <w:r w:rsidRPr="00C42F15">
              <w:rPr>
                <w:sz w:val="22"/>
                <w:szCs w:val="22"/>
              </w:rPr>
              <w:t>Jan - Dec</w:t>
            </w:r>
          </w:p>
        </w:tc>
        <w:tc>
          <w:tcPr>
            <w:tcW w:w="1828" w:type="dxa"/>
          </w:tcPr>
          <w:p w:rsidR="000254E4" w:rsidRPr="00C42F15" w:rsidRDefault="000254E4" w:rsidP="00DB7515">
            <w:pPr>
              <w:rPr>
                <w:sz w:val="22"/>
                <w:szCs w:val="22"/>
              </w:rPr>
            </w:pPr>
          </w:p>
        </w:tc>
      </w:tr>
      <w:tr w:rsidR="000254E4" w:rsidRPr="00C42F15" w:rsidTr="00DB7515">
        <w:trPr>
          <w:tblHeader/>
        </w:trPr>
        <w:tc>
          <w:tcPr>
            <w:tcW w:w="1098" w:type="dxa"/>
          </w:tcPr>
          <w:p w:rsidR="000254E4" w:rsidRPr="00C42F15" w:rsidRDefault="000254E4" w:rsidP="00DB7515">
            <w:pPr>
              <w:jc w:val="center"/>
              <w:rPr>
                <w:sz w:val="22"/>
                <w:szCs w:val="22"/>
              </w:rPr>
            </w:pPr>
          </w:p>
        </w:tc>
        <w:tc>
          <w:tcPr>
            <w:tcW w:w="7380" w:type="dxa"/>
          </w:tcPr>
          <w:p w:rsidR="000254E4" w:rsidRPr="00C42F15" w:rsidRDefault="000254E4" w:rsidP="00DB7515">
            <w:pPr>
              <w:rPr>
                <w:sz w:val="22"/>
                <w:szCs w:val="22"/>
              </w:rPr>
            </w:pPr>
            <w:r w:rsidRPr="00C42F15">
              <w:rPr>
                <w:sz w:val="22"/>
                <w:szCs w:val="22"/>
              </w:rPr>
              <w:t>2) Advice on data-related procedures of the Commission, e.g. Rules and Procedures for the Protection, Access to and Dissemination of Non-Public Domain Data and Information Compiled by the Commission, and “</w:t>
            </w:r>
            <w:r w:rsidRPr="00C42F15">
              <w:rPr>
                <w:i/>
                <w:sz w:val="22"/>
                <w:szCs w:val="22"/>
              </w:rPr>
              <w:t>Scientific Data to be Provided to the Commission</w:t>
            </w:r>
            <w:r w:rsidRPr="00C42F15">
              <w:rPr>
                <w:sz w:val="22"/>
                <w:szCs w:val="22"/>
              </w:rPr>
              <w:t>”</w:t>
            </w:r>
          </w:p>
        </w:tc>
        <w:tc>
          <w:tcPr>
            <w:tcW w:w="2520" w:type="dxa"/>
          </w:tcPr>
          <w:p w:rsidR="000254E4" w:rsidRPr="00C42F15" w:rsidRDefault="000254E4" w:rsidP="00DB7515">
            <w:pPr>
              <w:rPr>
                <w:sz w:val="22"/>
                <w:szCs w:val="22"/>
              </w:rPr>
            </w:pPr>
            <w:r w:rsidRPr="00C42F15">
              <w:rPr>
                <w:sz w:val="22"/>
                <w:szCs w:val="22"/>
              </w:rPr>
              <w:t>Advice provided on request</w:t>
            </w:r>
          </w:p>
        </w:tc>
        <w:tc>
          <w:tcPr>
            <w:tcW w:w="1350" w:type="dxa"/>
          </w:tcPr>
          <w:p w:rsidR="000254E4" w:rsidRPr="00C42F15" w:rsidRDefault="000254E4" w:rsidP="00DB7515">
            <w:pPr>
              <w:rPr>
                <w:sz w:val="22"/>
                <w:szCs w:val="22"/>
              </w:rPr>
            </w:pPr>
            <w:r w:rsidRPr="00C42F15">
              <w:rPr>
                <w:sz w:val="22"/>
                <w:szCs w:val="22"/>
              </w:rPr>
              <w:t>Jan - Dec</w:t>
            </w:r>
          </w:p>
        </w:tc>
        <w:tc>
          <w:tcPr>
            <w:tcW w:w="1828" w:type="dxa"/>
          </w:tcPr>
          <w:p w:rsidR="000254E4" w:rsidRPr="00C42F15" w:rsidRDefault="000254E4" w:rsidP="00DB7515">
            <w:pPr>
              <w:rPr>
                <w:sz w:val="22"/>
                <w:szCs w:val="22"/>
              </w:rPr>
            </w:pPr>
          </w:p>
        </w:tc>
      </w:tr>
      <w:tr w:rsidR="000254E4" w:rsidRPr="00C42F15" w:rsidTr="00DB7515">
        <w:trPr>
          <w:tblHeader/>
        </w:trPr>
        <w:tc>
          <w:tcPr>
            <w:tcW w:w="1098" w:type="dxa"/>
          </w:tcPr>
          <w:p w:rsidR="000254E4" w:rsidRPr="00C42F15" w:rsidRDefault="000254E4" w:rsidP="00DB7515">
            <w:pPr>
              <w:jc w:val="center"/>
              <w:rPr>
                <w:sz w:val="22"/>
                <w:szCs w:val="22"/>
              </w:rPr>
            </w:pPr>
          </w:p>
        </w:tc>
        <w:tc>
          <w:tcPr>
            <w:tcW w:w="7380" w:type="dxa"/>
          </w:tcPr>
          <w:p w:rsidR="000254E4" w:rsidRPr="00C42F15" w:rsidRDefault="000254E4" w:rsidP="00DB7515">
            <w:pPr>
              <w:rPr>
                <w:sz w:val="22"/>
                <w:szCs w:val="22"/>
              </w:rPr>
            </w:pPr>
            <w:r w:rsidRPr="00C42F15">
              <w:rPr>
                <w:sz w:val="22"/>
                <w:szCs w:val="22"/>
              </w:rPr>
              <w:t>3) Release the datasets used in annual assessments, upon request, subject to the Commission’s Rules and Procedures for the Protection, Access to and Dissemination of Data Compiled by the Commission</w:t>
            </w:r>
          </w:p>
        </w:tc>
        <w:tc>
          <w:tcPr>
            <w:tcW w:w="2520" w:type="dxa"/>
          </w:tcPr>
          <w:p w:rsidR="000254E4" w:rsidRPr="00C42F15" w:rsidRDefault="000254E4" w:rsidP="00DB7515">
            <w:pPr>
              <w:rPr>
                <w:sz w:val="22"/>
                <w:szCs w:val="22"/>
              </w:rPr>
            </w:pPr>
            <w:r w:rsidRPr="00C42F15">
              <w:rPr>
                <w:sz w:val="22"/>
                <w:szCs w:val="22"/>
              </w:rPr>
              <w:t>As requested by CCMs through the Executive Director</w:t>
            </w:r>
          </w:p>
        </w:tc>
        <w:tc>
          <w:tcPr>
            <w:tcW w:w="1350" w:type="dxa"/>
          </w:tcPr>
          <w:p w:rsidR="000254E4" w:rsidRPr="00C42F15" w:rsidRDefault="000254E4" w:rsidP="00DB7515">
            <w:pPr>
              <w:rPr>
                <w:sz w:val="22"/>
                <w:szCs w:val="22"/>
              </w:rPr>
            </w:pPr>
            <w:r w:rsidRPr="00C42F15">
              <w:rPr>
                <w:sz w:val="22"/>
                <w:szCs w:val="22"/>
              </w:rPr>
              <w:t>After mid-July</w:t>
            </w:r>
          </w:p>
        </w:tc>
        <w:tc>
          <w:tcPr>
            <w:tcW w:w="1828" w:type="dxa"/>
          </w:tcPr>
          <w:p w:rsidR="000254E4" w:rsidRPr="00C42F15" w:rsidRDefault="000254E4" w:rsidP="00DB7515">
            <w:pPr>
              <w:rPr>
                <w:sz w:val="22"/>
                <w:szCs w:val="22"/>
              </w:rPr>
            </w:pPr>
          </w:p>
        </w:tc>
      </w:tr>
      <w:tr w:rsidR="000254E4" w:rsidRPr="00C42F15" w:rsidTr="00DB7515">
        <w:trPr>
          <w:tblHeader/>
        </w:trPr>
        <w:tc>
          <w:tcPr>
            <w:tcW w:w="1098" w:type="dxa"/>
            <w:tcBorders>
              <w:bottom w:val="single" w:sz="4" w:space="0" w:color="auto"/>
            </w:tcBorders>
          </w:tcPr>
          <w:p w:rsidR="000254E4" w:rsidRPr="00C42F15" w:rsidRDefault="000254E4" w:rsidP="00DB7515">
            <w:pPr>
              <w:jc w:val="center"/>
              <w:rPr>
                <w:sz w:val="22"/>
                <w:szCs w:val="22"/>
              </w:rPr>
            </w:pPr>
          </w:p>
        </w:tc>
        <w:tc>
          <w:tcPr>
            <w:tcW w:w="7380" w:type="dxa"/>
            <w:tcBorders>
              <w:bottom w:val="single" w:sz="4" w:space="0" w:color="auto"/>
            </w:tcBorders>
          </w:tcPr>
          <w:p w:rsidR="000254E4" w:rsidRPr="00C42F15" w:rsidRDefault="000254E4" w:rsidP="00DB7515">
            <w:pPr>
              <w:rPr>
                <w:sz w:val="22"/>
                <w:szCs w:val="22"/>
              </w:rPr>
            </w:pPr>
            <w:r w:rsidRPr="00C42F15">
              <w:rPr>
                <w:sz w:val="22"/>
                <w:szCs w:val="22"/>
              </w:rPr>
              <w:t>4) Provide support to coordination and collaboration on data-related matters between the ISC and WCPFC</w:t>
            </w:r>
          </w:p>
        </w:tc>
        <w:tc>
          <w:tcPr>
            <w:tcW w:w="2520" w:type="dxa"/>
            <w:tcBorders>
              <w:bottom w:val="single" w:sz="4" w:space="0" w:color="auto"/>
            </w:tcBorders>
          </w:tcPr>
          <w:p w:rsidR="000254E4" w:rsidRPr="00C42F15" w:rsidRDefault="000254E4" w:rsidP="000254E4">
            <w:pPr>
              <w:pStyle w:val="ListParagraph"/>
              <w:numPr>
                <w:ilvl w:val="0"/>
                <w:numId w:val="19"/>
              </w:numPr>
              <w:ind w:left="144" w:hanging="144"/>
              <w:contextualSpacing/>
              <w:rPr>
                <w:sz w:val="22"/>
                <w:szCs w:val="22"/>
              </w:rPr>
            </w:pPr>
            <w:r w:rsidRPr="00C42F15">
              <w:rPr>
                <w:sz w:val="22"/>
                <w:szCs w:val="22"/>
              </w:rPr>
              <w:t>Produce an inventory of Commission data holdings for north Pacific stocks</w:t>
            </w:r>
          </w:p>
          <w:p w:rsidR="000254E4" w:rsidRPr="00C42F15" w:rsidRDefault="000254E4" w:rsidP="000254E4">
            <w:pPr>
              <w:pStyle w:val="ListParagraph"/>
              <w:numPr>
                <w:ilvl w:val="0"/>
                <w:numId w:val="19"/>
              </w:numPr>
              <w:ind w:left="144" w:hanging="144"/>
              <w:contextualSpacing/>
              <w:rPr>
                <w:sz w:val="22"/>
                <w:szCs w:val="22"/>
              </w:rPr>
            </w:pPr>
            <w:r w:rsidRPr="00C42F15">
              <w:rPr>
                <w:sz w:val="22"/>
                <w:szCs w:val="22"/>
              </w:rPr>
              <w:t>Participate in work to reconcile of ISC and Commission data holdings, for north Pacific stocks, to identify any data gaps by 1st October 2010. Work coordinated by the Secretariat, in conjunction ISC and interested CCMs.</w:t>
            </w:r>
          </w:p>
        </w:tc>
        <w:tc>
          <w:tcPr>
            <w:tcW w:w="1350" w:type="dxa"/>
            <w:tcBorders>
              <w:bottom w:val="single" w:sz="4" w:space="0" w:color="auto"/>
            </w:tcBorders>
          </w:tcPr>
          <w:p w:rsidR="000254E4" w:rsidRPr="00C42F15" w:rsidRDefault="000254E4" w:rsidP="00DB7515">
            <w:pPr>
              <w:rPr>
                <w:sz w:val="22"/>
                <w:szCs w:val="22"/>
              </w:rPr>
            </w:pPr>
            <w:r w:rsidRPr="00C42F15">
              <w:rPr>
                <w:sz w:val="22"/>
                <w:szCs w:val="22"/>
              </w:rPr>
              <w:t>July 2010</w:t>
            </w:r>
          </w:p>
          <w:p w:rsidR="000254E4" w:rsidRPr="00C42F15" w:rsidRDefault="000254E4" w:rsidP="00DB7515">
            <w:pPr>
              <w:rPr>
                <w:sz w:val="22"/>
                <w:szCs w:val="22"/>
              </w:rPr>
            </w:pPr>
          </w:p>
          <w:p w:rsidR="000254E4" w:rsidRPr="00C42F15" w:rsidRDefault="000254E4" w:rsidP="00DB7515">
            <w:pPr>
              <w:rPr>
                <w:sz w:val="22"/>
                <w:szCs w:val="22"/>
              </w:rPr>
            </w:pPr>
          </w:p>
          <w:p w:rsidR="000254E4" w:rsidRPr="00C42F15" w:rsidRDefault="000254E4" w:rsidP="00DB7515">
            <w:pPr>
              <w:rPr>
                <w:sz w:val="22"/>
                <w:szCs w:val="22"/>
              </w:rPr>
            </w:pPr>
          </w:p>
          <w:p w:rsidR="000254E4" w:rsidRPr="00C42F15" w:rsidRDefault="000254E4" w:rsidP="00DB7515">
            <w:pPr>
              <w:rPr>
                <w:sz w:val="22"/>
                <w:szCs w:val="22"/>
              </w:rPr>
            </w:pPr>
            <w:r w:rsidRPr="00C42F15">
              <w:rPr>
                <w:sz w:val="22"/>
                <w:szCs w:val="22"/>
              </w:rPr>
              <w:t>Oct 2010</w:t>
            </w:r>
          </w:p>
        </w:tc>
        <w:tc>
          <w:tcPr>
            <w:tcW w:w="1828" w:type="dxa"/>
            <w:tcBorders>
              <w:bottom w:val="single" w:sz="4" w:space="0" w:color="auto"/>
            </w:tcBorders>
          </w:tcPr>
          <w:p w:rsidR="000254E4" w:rsidRPr="00C42F15" w:rsidRDefault="000254E4" w:rsidP="00DB7515">
            <w:pPr>
              <w:rPr>
                <w:sz w:val="22"/>
                <w:szCs w:val="22"/>
              </w:rPr>
            </w:pPr>
          </w:p>
        </w:tc>
      </w:tr>
      <w:tr w:rsidR="000254E4" w:rsidRPr="00C42F15" w:rsidTr="00DB7515">
        <w:trPr>
          <w:tblHeader/>
        </w:trPr>
        <w:tc>
          <w:tcPr>
            <w:tcW w:w="1098" w:type="dxa"/>
            <w:shd w:val="clear" w:color="auto" w:fill="000000" w:themeFill="text1"/>
          </w:tcPr>
          <w:p w:rsidR="000254E4" w:rsidRPr="00C42F15" w:rsidRDefault="000254E4" w:rsidP="00DB7515">
            <w:pPr>
              <w:jc w:val="center"/>
              <w:rPr>
                <w:sz w:val="22"/>
                <w:szCs w:val="22"/>
              </w:rPr>
            </w:pPr>
          </w:p>
        </w:tc>
        <w:tc>
          <w:tcPr>
            <w:tcW w:w="7380" w:type="dxa"/>
            <w:shd w:val="clear" w:color="auto" w:fill="000000" w:themeFill="text1"/>
          </w:tcPr>
          <w:p w:rsidR="000254E4" w:rsidRPr="00C42F15" w:rsidRDefault="000254E4" w:rsidP="00DB7515">
            <w:pPr>
              <w:rPr>
                <w:sz w:val="22"/>
                <w:szCs w:val="22"/>
              </w:rPr>
            </w:pPr>
          </w:p>
        </w:tc>
        <w:tc>
          <w:tcPr>
            <w:tcW w:w="2520" w:type="dxa"/>
            <w:shd w:val="clear" w:color="auto" w:fill="000000" w:themeFill="text1"/>
          </w:tcPr>
          <w:p w:rsidR="000254E4" w:rsidRPr="00C42F15" w:rsidRDefault="000254E4" w:rsidP="00DB7515">
            <w:pPr>
              <w:rPr>
                <w:sz w:val="22"/>
                <w:szCs w:val="22"/>
              </w:rPr>
            </w:pPr>
          </w:p>
        </w:tc>
        <w:tc>
          <w:tcPr>
            <w:tcW w:w="1350" w:type="dxa"/>
            <w:shd w:val="clear" w:color="auto" w:fill="000000" w:themeFill="text1"/>
          </w:tcPr>
          <w:p w:rsidR="000254E4" w:rsidRPr="00C42F15" w:rsidRDefault="000254E4" w:rsidP="00DB7515">
            <w:pPr>
              <w:rPr>
                <w:sz w:val="22"/>
                <w:szCs w:val="22"/>
              </w:rPr>
            </w:pPr>
          </w:p>
        </w:tc>
        <w:tc>
          <w:tcPr>
            <w:tcW w:w="1828" w:type="dxa"/>
            <w:shd w:val="clear" w:color="auto" w:fill="000000" w:themeFill="text1"/>
          </w:tcPr>
          <w:p w:rsidR="000254E4" w:rsidRPr="00C42F15" w:rsidRDefault="000254E4" w:rsidP="00DB7515">
            <w:pPr>
              <w:rPr>
                <w:sz w:val="22"/>
                <w:szCs w:val="22"/>
              </w:rPr>
            </w:pPr>
          </w:p>
        </w:tc>
      </w:tr>
      <w:tr w:rsidR="000254E4" w:rsidRPr="00C42F15" w:rsidTr="00DB7515">
        <w:trPr>
          <w:tblHeader/>
        </w:trPr>
        <w:tc>
          <w:tcPr>
            <w:tcW w:w="1098" w:type="dxa"/>
          </w:tcPr>
          <w:p w:rsidR="000254E4" w:rsidRPr="00C42F15" w:rsidRDefault="000254E4" w:rsidP="00DB7515">
            <w:pPr>
              <w:jc w:val="center"/>
              <w:rPr>
                <w:b/>
                <w:sz w:val="22"/>
                <w:szCs w:val="22"/>
              </w:rPr>
            </w:pPr>
            <w:r w:rsidRPr="00C42F15">
              <w:rPr>
                <w:b/>
                <w:sz w:val="22"/>
                <w:szCs w:val="22"/>
              </w:rPr>
              <w:t>v.</w:t>
            </w:r>
          </w:p>
          <w:p w:rsidR="000254E4" w:rsidRPr="00C42F15" w:rsidRDefault="000254E4" w:rsidP="00DB7515">
            <w:pPr>
              <w:jc w:val="center"/>
              <w:rPr>
                <w:b/>
                <w:sz w:val="22"/>
                <w:szCs w:val="22"/>
              </w:rPr>
            </w:pPr>
            <w:r w:rsidRPr="00C42F15">
              <w:rPr>
                <w:b/>
                <w:sz w:val="22"/>
                <w:szCs w:val="22"/>
              </w:rPr>
              <w:t>(8,14,15)</w:t>
            </w:r>
          </w:p>
        </w:tc>
        <w:tc>
          <w:tcPr>
            <w:tcW w:w="7380" w:type="dxa"/>
            <w:vAlign w:val="center"/>
          </w:tcPr>
          <w:p w:rsidR="000254E4" w:rsidRPr="00C42F15" w:rsidRDefault="000254E4" w:rsidP="00DB7515">
            <w:pPr>
              <w:rPr>
                <w:b/>
                <w:i/>
                <w:sz w:val="22"/>
                <w:szCs w:val="22"/>
              </w:rPr>
            </w:pPr>
            <w:r w:rsidRPr="00C42F15">
              <w:rPr>
                <w:b/>
                <w:i/>
                <w:sz w:val="22"/>
                <w:szCs w:val="22"/>
              </w:rPr>
              <w:t>Support of other data-related projects of the Commission</w:t>
            </w:r>
          </w:p>
        </w:tc>
        <w:tc>
          <w:tcPr>
            <w:tcW w:w="2520" w:type="dxa"/>
          </w:tcPr>
          <w:p w:rsidR="000254E4" w:rsidRPr="00C42F15" w:rsidRDefault="000254E4" w:rsidP="00DB7515">
            <w:pPr>
              <w:rPr>
                <w:sz w:val="22"/>
                <w:szCs w:val="22"/>
              </w:rPr>
            </w:pPr>
          </w:p>
        </w:tc>
        <w:tc>
          <w:tcPr>
            <w:tcW w:w="1350" w:type="dxa"/>
          </w:tcPr>
          <w:p w:rsidR="000254E4" w:rsidRPr="00C42F15" w:rsidRDefault="000254E4" w:rsidP="00DB7515">
            <w:pPr>
              <w:rPr>
                <w:sz w:val="22"/>
                <w:szCs w:val="22"/>
              </w:rPr>
            </w:pPr>
          </w:p>
        </w:tc>
        <w:tc>
          <w:tcPr>
            <w:tcW w:w="1828" w:type="dxa"/>
          </w:tcPr>
          <w:p w:rsidR="000254E4" w:rsidRPr="00C42F15" w:rsidRDefault="000254E4" w:rsidP="00DB7515">
            <w:pPr>
              <w:rPr>
                <w:sz w:val="22"/>
                <w:szCs w:val="22"/>
              </w:rPr>
            </w:pPr>
          </w:p>
        </w:tc>
      </w:tr>
      <w:tr w:rsidR="000254E4" w:rsidRPr="00C42F15" w:rsidTr="00DB7515">
        <w:trPr>
          <w:tblHeader/>
        </w:trPr>
        <w:tc>
          <w:tcPr>
            <w:tcW w:w="1098" w:type="dxa"/>
            <w:tcBorders>
              <w:bottom w:val="single" w:sz="4" w:space="0" w:color="auto"/>
            </w:tcBorders>
          </w:tcPr>
          <w:p w:rsidR="000254E4" w:rsidRPr="00C42F15" w:rsidRDefault="000254E4" w:rsidP="00DB7515">
            <w:pPr>
              <w:jc w:val="center"/>
              <w:rPr>
                <w:sz w:val="22"/>
                <w:szCs w:val="22"/>
              </w:rPr>
            </w:pPr>
          </w:p>
        </w:tc>
        <w:tc>
          <w:tcPr>
            <w:tcW w:w="7380" w:type="dxa"/>
            <w:tcBorders>
              <w:bottom w:val="single" w:sz="4" w:space="0" w:color="auto"/>
            </w:tcBorders>
          </w:tcPr>
          <w:p w:rsidR="000254E4" w:rsidRPr="00C42F15" w:rsidRDefault="000254E4" w:rsidP="00DB7515">
            <w:pPr>
              <w:rPr>
                <w:sz w:val="22"/>
                <w:szCs w:val="22"/>
              </w:rPr>
            </w:pPr>
            <w:r w:rsidRPr="00C42F15">
              <w:rPr>
                <w:sz w:val="22"/>
                <w:szCs w:val="22"/>
              </w:rPr>
              <w:t>1) Participate in GEF-West Pacific East Asia Oceanic Fisheries Management (WPEA OFM) Project</w:t>
            </w:r>
          </w:p>
        </w:tc>
        <w:tc>
          <w:tcPr>
            <w:tcW w:w="2520" w:type="dxa"/>
            <w:tcBorders>
              <w:bottom w:val="single" w:sz="4" w:space="0" w:color="auto"/>
            </w:tcBorders>
          </w:tcPr>
          <w:p w:rsidR="000254E4" w:rsidRPr="00C42F15" w:rsidRDefault="000254E4" w:rsidP="000254E4">
            <w:pPr>
              <w:pStyle w:val="ListParagraph"/>
              <w:numPr>
                <w:ilvl w:val="0"/>
                <w:numId w:val="20"/>
              </w:numPr>
              <w:ind w:left="144" w:hanging="144"/>
              <w:contextualSpacing/>
              <w:rPr>
                <w:sz w:val="22"/>
                <w:szCs w:val="22"/>
              </w:rPr>
            </w:pPr>
            <w:r w:rsidRPr="00C42F15">
              <w:rPr>
                <w:sz w:val="22"/>
                <w:szCs w:val="22"/>
              </w:rPr>
              <w:t>Attending and facilitating WPEA OFM-related workshops and meetings. (Travel costs provided by WCPFC)</w:t>
            </w:r>
          </w:p>
          <w:p w:rsidR="000254E4" w:rsidRPr="00C42F15" w:rsidRDefault="000254E4" w:rsidP="000254E4">
            <w:pPr>
              <w:pStyle w:val="ListParagraph"/>
              <w:numPr>
                <w:ilvl w:val="0"/>
                <w:numId w:val="20"/>
              </w:numPr>
              <w:ind w:left="144" w:hanging="144"/>
              <w:contextualSpacing/>
              <w:rPr>
                <w:sz w:val="22"/>
                <w:szCs w:val="22"/>
              </w:rPr>
            </w:pPr>
            <w:r w:rsidRPr="00C42F15">
              <w:rPr>
                <w:sz w:val="22"/>
                <w:szCs w:val="22"/>
              </w:rPr>
              <w:t>Training in fishery monitoring and data management</w:t>
            </w:r>
          </w:p>
          <w:p w:rsidR="000254E4" w:rsidRPr="00C42F15" w:rsidRDefault="000254E4" w:rsidP="000254E4">
            <w:pPr>
              <w:pStyle w:val="ListParagraph"/>
              <w:numPr>
                <w:ilvl w:val="0"/>
                <w:numId w:val="20"/>
              </w:numPr>
              <w:ind w:left="144" w:hanging="144"/>
              <w:contextualSpacing/>
              <w:rPr>
                <w:sz w:val="22"/>
                <w:szCs w:val="22"/>
              </w:rPr>
            </w:pPr>
            <w:r w:rsidRPr="00C42F15">
              <w:rPr>
                <w:sz w:val="22"/>
                <w:szCs w:val="22"/>
              </w:rPr>
              <w:t>Technical support the auditing of fishery monitoring and data management systems</w:t>
            </w:r>
          </w:p>
          <w:p w:rsidR="000254E4" w:rsidRPr="00C42F15" w:rsidRDefault="000254E4" w:rsidP="000254E4">
            <w:pPr>
              <w:pStyle w:val="ListParagraph"/>
              <w:numPr>
                <w:ilvl w:val="0"/>
                <w:numId w:val="20"/>
              </w:numPr>
              <w:ind w:left="144" w:hanging="144"/>
              <w:contextualSpacing/>
              <w:rPr>
                <w:sz w:val="22"/>
                <w:szCs w:val="22"/>
              </w:rPr>
            </w:pPr>
            <w:r w:rsidRPr="00C42F15">
              <w:rPr>
                <w:sz w:val="22"/>
                <w:szCs w:val="22"/>
              </w:rPr>
              <w:t>Other advice and support as required</w:t>
            </w:r>
          </w:p>
        </w:tc>
        <w:tc>
          <w:tcPr>
            <w:tcW w:w="1350" w:type="dxa"/>
            <w:tcBorders>
              <w:bottom w:val="single" w:sz="4" w:space="0" w:color="auto"/>
            </w:tcBorders>
          </w:tcPr>
          <w:p w:rsidR="000254E4" w:rsidRPr="00C42F15" w:rsidRDefault="000254E4" w:rsidP="00DB7515">
            <w:pPr>
              <w:rPr>
                <w:sz w:val="22"/>
                <w:szCs w:val="22"/>
              </w:rPr>
            </w:pPr>
            <w:r w:rsidRPr="00C42F15">
              <w:rPr>
                <w:sz w:val="22"/>
                <w:szCs w:val="22"/>
              </w:rPr>
              <w:t>Jan - Dec</w:t>
            </w:r>
          </w:p>
        </w:tc>
        <w:tc>
          <w:tcPr>
            <w:tcW w:w="1828" w:type="dxa"/>
            <w:tcBorders>
              <w:bottom w:val="single" w:sz="4" w:space="0" w:color="auto"/>
            </w:tcBorders>
          </w:tcPr>
          <w:p w:rsidR="000254E4" w:rsidRPr="00C42F15" w:rsidRDefault="000254E4" w:rsidP="00DB7515">
            <w:pPr>
              <w:rPr>
                <w:sz w:val="22"/>
                <w:szCs w:val="22"/>
              </w:rPr>
            </w:pPr>
          </w:p>
        </w:tc>
      </w:tr>
      <w:tr w:rsidR="000254E4" w:rsidRPr="00C42F15" w:rsidTr="00DB7515">
        <w:trPr>
          <w:tblHeader/>
        </w:trPr>
        <w:tc>
          <w:tcPr>
            <w:tcW w:w="1098" w:type="dxa"/>
            <w:shd w:val="clear" w:color="auto" w:fill="000000" w:themeFill="text1"/>
          </w:tcPr>
          <w:p w:rsidR="000254E4" w:rsidRPr="00C42F15" w:rsidRDefault="000254E4" w:rsidP="00DB7515">
            <w:pPr>
              <w:jc w:val="center"/>
              <w:rPr>
                <w:sz w:val="22"/>
                <w:szCs w:val="22"/>
              </w:rPr>
            </w:pPr>
          </w:p>
        </w:tc>
        <w:tc>
          <w:tcPr>
            <w:tcW w:w="7380" w:type="dxa"/>
            <w:shd w:val="clear" w:color="auto" w:fill="000000" w:themeFill="text1"/>
          </w:tcPr>
          <w:p w:rsidR="000254E4" w:rsidRPr="00C42F15" w:rsidRDefault="000254E4" w:rsidP="00DB7515">
            <w:pPr>
              <w:rPr>
                <w:sz w:val="22"/>
                <w:szCs w:val="22"/>
              </w:rPr>
            </w:pPr>
          </w:p>
        </w:tc>
        <w:tc>
          <w:tcPr>
            <w:tcW w:w="2520" w:type="dxa"/>
            <w:shd w:val="clear" w:color="auto" w:fill="000000" w:themeFill="text1"/>
          </w:tcPr>
          <w:p w:rsidR="000254E4" w:rsidRPr="00C42F15" w:rsidRDefault="000254E4" w:rsidP="00DB7515">
            <w:pPr>
              <w:pStyle w:val="ListParagraph"/>
              <w:ind w:left="144"/>
              <w:rPr>
                <w:sz w:val="22"/>
                <w:szCs w:val="22"/>
              </w:rPr>
            </w:pPr>
          </w:p>
        </w:tc>
        <w:tc>
          <w:tcPr>
            <w:tcW w:w="1350" w:type="dxa"/>
            <w:shd w:val="clear" w:color="auto" w:fill="000000" w:themeFill="text1"/>
          </w:tcPr>
          <w:p w:rsidR="000254E4" w:rsidRPr="00C42F15" w:rsidRDefault="000254E4" w:rsidP="00DB7515">
            <w:pPr>
              <w:rPr>
                <w:sz w:val="22"/>
                <w:szCs w:val="22"/>
              </w:rPr>
            </w:pPr>
          </w:p>
        </w:tc>
        <w:tc>
          <w:tcPr>
            <w:tcW w:w="1828" w:type="dxa"/>
            <w:shd w:val="clear" w:color="auto" w:fill="000000" w:themeFill="text1"/>
          </w:tcPr>
          <w:p w:rsidR="000254E4" w:rsidRPr="00C42F15" w:rsidRDefault="000254E4" w:rsidP="00DB7515">
            <w:pPr>
              <w:rPr>
                <w:sz w:val="22"/>
                <w:szCs w:val="22"/>
              </w:rPr>
            </w:pPr>
          </w:p>
        </w:tc>
      </w:tr>
    </w:tbl>
    <w:p w:rsidR="000254E4" w:rsidRPr="00C42F15" w:rsidRDefault="000254E4" w:rsidP="000254E4">
      <w:pPr>
        <w:rPr>
          <w:sz w:val="22"/>
          <w:szCs w:val="22"/>
        </w:rPr>
      </w:pPr>
    </w:p>
    <w:p w:rsidR="000254E4" w:rsidRPr="00C42F15" w:rsidRDefault="000254E4">
      <w:pPr>
        <w:spacing w:after="200" w:line="276" w:lineRule="auto"/>
        <w:rPr>
          <w:sz w:val="22"/>
          <w:szCs w:val="22"/>
        </w:rPr>
      </w:pPr>
      <w:r w:rsidRPr="00C42F15">
        <w:rPr>
          <w:sz w:val="22"/>
          <w:szCs w:val="22"/>
        </w:rPr>
        <w:br w:type="page"/>
      </w:r>
    </w:p>
    <w:tbl>
      <w:tblPr>
        <w:tblStyle w:val="TableGrid"/>
        <w:tblW w:w="14176" w:type="dxa"/>
        <w:tblLayout w:type="fixed"/>
        <w:tblLook w:val="04A0"/>
      </w:tblPr>
      <w:tblGrid>
        <w:gridCol w:w="1098"/>
        <w:gridCol w:w="7380"/>
        <w:gridCol w:w="2430"/>
        <w:gridCol w:w="1440"/>
        <w:gridCol w:w="1828"/>
      </w:tblGrid>
      <w:tr w:rsidR="000254E4" w:rsidRPr="00C42F15" w:rsidTr="000254E4">
        <w:trPr>
          <w:tblHeader/>
        </w:trPr>
        <w:tc>
          <w:tcPr>
            <w:tcW w:w="14176" w:type="dxa"/>
            <w:gridSpan w:val="5"/>
            <w:shd w:val="pct10" w:color="auto" w:fill="auto"/>
          </w:tcPr>
          <w:p w:rsidR="000254E4" w:rsidRPr="00C42F15" w:rsidRDefault="000254E4" w:rsidP="00DB7515">
            <w:pPr>
              <w:jc w:val="center"/>
              <w:rPr>
                <w:b/>
                <w:i/>
                <w:sz w:val="22"/>
                <w:szCs w:val="22"/>
              </w:rPr>
            </w:pPr>
            <w:r w:rsidRPr="00C42F15">
              <w:rPr>
                <w:b/>
                <w:i/>
                <w:sz w:val="22"/>
                <w:szCs w:val="22"/>
              </w:rPr>
              <w:lastRenderedPageBreak/>
              <w:t>Stock assessment and related analytical services</w:t>
            </w:r>
          </w:p>
        </w:tc>
      </w:tr>
      <w:tr w:rsidR="000254E4" w:rsidRPr="00C42F15" w:rsidTr="000254E4">
        <w:trPr>
          <w:tblHeader/>
        </w:trPr>
        <w:tc>
          <w:tcPr>
            <w:tcW w:w="1098" w:type="dxa"/>
          </w:tcPr>
          <w:p w:rsidR="000254E4" w:rsidRPr="00C42F15" w:rsidRDefault="000254E4" w:rsidP="00DB7515">
            <w:pPr>
              <w:jc w:val="center"/>
              <w:rPr>
                <w:b/>
                <w:sz w:val="22"/>
                <w:szCs w:val="22"/>
              </w:rPr>
            </w:pPr>
            <w:r w:rsidRPr="00C42F15">
              <w:rPr>
                <w:b/>
                <w:sz w:val="22"/>
                <w:szCs w:val="22"/>
              </w:rPr>
              <w:t>vi.</w:t>
            </w:r>
          </w:p>
          <w:p w:rsidR="000254E4" w:rsidRPr="00C42F15" w:rsidRDefault="000254E4" w:rsidP="00DB7515">
            <w:pPr>
              <w:jc w:val="center"/>
              <w:rPr>
                <w:b/>
                <w:sz w:val="22"/>
                <w:szCs w:val="22"/>
              </w:rPr>
            </w:pPr>
            <w:r w:rsidRPr="00C42F15">
              <w:rPr>
                <w:b/>
                <w:sz w:val="22"/>
                <w:szCs w:val="22"/>
              </w:rPr>
              <w:t>(22, 23, 24, 25, 31)</w:t>
            </w:r>
          </w:p>
        </w:tc>
        <w:tc>
          <w:tcPr>
            <w:tcW w:w="7380" w:type="dxa"/>
            <w:vAlign w:val="center"/>
          </w:tcPr>
          <w:p w:rsidR="000254E4" w:rsidRPr="00C42F15" w:rsidRDefault="000254E4" w:rsidP="00DB7515">
            <w:pPr>
              <w:rPr>
                <w:b/>
                <w:i/>
                <w:sz w:val="22"/>
                <w:szCs w:val="22"/>
              </w:rPr>
            </w:pPr>
            <w:r w:rsidRPr="00C42F15">
              <w:rPr>
                <w:b/>
                <w:i/>
                <w:sz w:val="22"/>
                <w:szCs w:val="22"/>
              </w:rPr>
              <w:t>Stock assessments and auxiliary analyses</w:t>
            </w:r>
          </w:p>
        </w:tc>
        <w:tc>
          <w:tcPr>
            <w:tcW w:w="2430" w:type="dxa"/>
          </w:tcPr>
          <w:p w:rsidR="000254E4" w:rsidRPr="00C42F15" w:rsidRDefault="000254E4" w:rsidP="00DB7515">
            <w:pPr>
              <w:rPr>
                <w:sz w:val="22"/>
                <w:szCs w:val="22"/>
              </w:rPr>
            </w:pPr>
          </w:p>
        </w:tc>
        <w:tc>
          <w:tcPr>
            <w:tcW w:w="1440" w:type="dxa"/>
          </w:tcPr>
          <w:p w:rsidR="000254E4" w:rsidRPr="00C42F15" w:rsidRDefault="000254E4" w:rsidP="00DB7515">
            <w:pPr>
              <w:rPr>
                <w:sz w:val="22"/>
                <w:szCs w:val="22"/>
              </w:rPr>
            </w:pPr>
          </w:p>
        </w:tc>
        <w:tc>
          <w:tcPr>
            <w:tcW w:w="1828" w:type="dxa"/>
          </w:tcPr>
          <w:p w:rsidR="000254E4" w:rsidRPr="00C42F15" w:rsidRDefault="000254E4" w:rsidP="00DB7515">
            <w:pPr>
              <w:rPr>
                <w:sz w:val="22"/>
                <w:szCs w:val="22"/>
              </w:rPr>
            </w:pPr>
          </w:p>
        </w:tc>
      </w:tr>
      <w:tr w:rsidR="000254E4" w:rsidRPr="00C42F15" w:rsidTr="000254E4">
        <w:trPr>
          <w:tblHeader/>
        </w:trPr>
        <w:tc>
          <w:tcPr>
            <w:tcW w:w="1098" w:type="dxa"/>
          </w:tcPr>
          <w:p w:rsidR="000254E4" w:rsidRPr="00C42F15" w:rsidRDefault="000254E4" w:rsidP="00DB7515">
            <w:pPr>
              <w:jc w:val="center"/>
              <w:rPr>
                <w:sz w:val="22"/>
                <w:szCs w:val="22"/>
              </w:rPr>
            </w:pPr>
          </w:p>
        </w:tc>
        <w:tc>
          <w:tcPr>
            <w:tcW w:w="7380" w:type="dxa"/>
          </w:tcPr>
          <w:p w:rsidR="000254E4" w:rsidRPr="00C42F15" w:rsidRDefault="000254E4" w:rsidP="00DB7515">
            <w:pPr>
              <w:rPr>
                <w:sz w:val="22"/>
                <w:szCs w:val="22"/>
              </w:rPr>
            </w:pPr>
            <w:r w:rsidRPr="00C42F15">
              <w:rPr>
                <w:sz w:val="22"/>
                <w:szCs w:val="22"/>
              </w:rPr>
              <w:t>1) Undertake stock assessments for target and non-target species as requested by the Commission, including exploration of sensitivity of stock assessment outcomes to structural assumptions in models and data issues, including the comparison of various stock assessment models.</w:t>
            </w:r>
          </w:p>
        </w:tc>
        <w:tc>
          <w:tcPr>
            <w:tcW w:w="2430" w:type="dxa"/>
          </w:tcPr>
          <w:p w:rsidR="000254E4" w:rsidRPr="00C42F15" w:rsidRDefault="000254E4" w:rsidP="000254E4">
            <w:pPr>
              <w:pStyle w:val="ListParagraph"/>
              <w:numPr>
                <w:ilvl w:val="0"/>
                <w:numId w:val="21"/>
              </w:numPr>
              <w:ind w:left="144" w:hanging="144"/>
              <w:contextualSpacing/>
              <w:rPr>
                <w:sz w:val="22"/>
                <w:szCs w:val="22"/>
              </w:rPr>
            </w:pPr>
            <w:r w:rsidRPr="00C42F15">
              <w:rPr>
                <w:sz w:val="22"/>
                <w:szCs w:val="22"/>
              </w:rPr>
              <w:t>Assessments for bigeye and skipjack tunas</w:t>
            </w:r>
          </w:p>
          <w:p w:rsidR="000254E4" w:rsidRPr="00C42F15" w:rsidRDefault="000254E4" w:rsidP="000254E4">
            <w:pPr>
              <w:pStyle w:val="ListParagraph"/>
              <w:numPr>
                <w:ilvl w:val="0"/>
                <w:numId w:val="21"/>
              </w:numPr>
              <w:ind w:left="144" w:hanging="144"/>
              <w:contextualSpacing/>
              <w:rPr>
                <w:sz w:val="22"/>
                <w:szCs w:val="22"/>
              </w:rPr>
            </w:pPr>
            <w:r w:rsidRPr="00C42F15">
              <w:rPr>
                <w:sz w:val="22"/>
                <w:szCs w:val="22"/>
              </w:rPr>
              <w:t>SC papers</w:t>
            </w:r>
          </w:p>
          <w:p w:rsidR="000254E4" w:rsidRPr="00C42F15" w:rsidRDefault="000254E4" w:rsidP="000254E4">
            <w:pPr>
              <w:pStyle w:val="ListParagraph"/>
              <w:numPr>
                <w:ilvl w:val="0"/>
                <w:numId w:val="21"/>
              </w:numPr>
              <w:ind w:left="144" w:hanging="144"/>
              <w:contextualSpacing/>
              <w:rPr>
                <w:i/>
                <w:sz w:val="22"/>
                <w:szCs w:val="22"/>
              </w:rPr>
            </w:pPr>
            <w:r w:rsidRPr="00C42F15">
              <w:rPr>
                <w:i/>
                <w:sz w:val="22"/>
                <w:szCs w:val="22"/>
              </w:rPr>
              <w:t>See ERA for shark work</w:t>
            </w:r>
          </w:p>
        </w:tc>
        <w:tc>
          <w:tcPr>
            <w:tcW w:w="1440" w:type="dxa"/>
          </w:tcPr>
          <w:p w:rsidR="000254E4" w:rsidRPr="00C42F15" w:rsidRDefault="000254E4" w:rsidP="00DB7515">
            <w:pPr>
              <w:rPr>
                <w:sz w:val="22"/>
                <w:szCs w:val="22"/>
              </w:rPr>
            </w:pPr>
            <w:r w:rsidRPr="00C42F15">
              <w:rPr>
                <w:sz w:val="22"/>
                <w:szCs w:val="22"/>
              </w:rPr>
              <w:t>Mid-July</w:t>
            </w:r>
          </w:p>
        </w:tc>
        <w:tc>
          <w:tcPr>
            <w:tcW w:w="1828" w:type="dxa"/>
          </w:tcPr>
          <w:p w:rsidR="000254E4" w:rsidRPr="00C42F15" w:rsidRDefault="000254E4" w:rsidP="00DB7515">
            <w:pPr>
              <w:rPr>
                <w:sz w:val="22"/>
                <w:szCs w:val="22"/>
              </w:rPr>
            </w:pPr>
          </w:p>
        </w:tc>
      </w:tr>
      <w:tr w:rsidR="000254E4" w:rsidRPr="00C42F15" w:rsidTr="000254E4">
        <w:trPr>
          <w:tblHeader/>
        </w:trPr>
        <w:tc>
          <w:tcPr>
            <w:tcW w:w="1098" w:type="dxa"/>
            <w:tcBorders>
              <w:bottom w:val="single" w:sz="4" w:space="0" w:color="auto"/>
            </w:tcBorders>
          </w:tcPr>
          <w:p w:rsidR="000254E4" w:rsidRPr="00C42F15" w:rsidRDefault="000254E4" w:rsidP="00DB7515">
            <w:pPr>
              <w:jc w:val="center"/>
              <w:rPr>
                <w:sz w:val="22"/>
                <w:szCs w:val="22"/>
              </w:rPr>
            </w:pPr>
          </w:p>
        </w:tc>
        <w:tc>
          <w:tcPr>
            <w:tcW w:w="7380" w:type="dxa"/>
            <w:tcBorders>
              <w:bottom w:val="single" w:sz="4" w:space="0" w:color="auto"/>
            </w:tcBorders>
          </w:tcPr>
          <w:p w:rsidR="000254E4" w:rsidRPr="00C42F15" w:rsidRDefault="000254E4" w:rsidP="00DB7515">
            <w:pPr>
              <w:rPr>
                <w:sz w:val="22"/>
                <w:szCs w:val="22"/>
              </w:rPr>
            </w:pPr>
            <w:r w:rsidRPr="00C42F15">
              <w:rPr>
                <w:sz w:val="22"/>
                <w:szCs w:val="22"/>
              </w:rPr>
              <w:t>2) Undertake analyses of longline catch and effort data, and data for other fishing gears where appropriate, including where appropriate operational-level data where possible, to construction of indices of stock target and non-target species</w:t>
            </w:r>
          </w:p>
        </w:tc>
        <w:tc>
          <w:tcPr>
            <w:tcW w:w="2430" w:type="dxa"/>
            <w:tcBorders>
              <w:bottom w:val="single" w:sz="4" w:space="0" w:color="auto"/>
            </w:tcBorders>
          </w:tcPr>
          <w:p w:rsidR="000254E4" w:rsidRPr="00C42F15" w:rsidRDefault="000254E4" w:rsidP="000254E4">
            <w:pPr>
              <w:pStyle w:val="ListParagraph"/>
              <w:numPr>
                <w:ilvl w:val="0"/>
                <w:numId w:val="22"/>
              </w:numPr>
              <w:ind w:left="144" w:hanging="144"/>
              <w:contextualSpacing/>
              <w:rPr>
                <w:sz w:val="22"/>
                <w:szCs w:val="22"/>
              </w:rPr>
            </w:pPr>
            <w:r w:rsidRPr="00C42F15">
              <w:rPr>
                <w:sz w:val="22"/>
                <w:szCs w:val="22"/>
              </w:rPr>
              <w:t>Analyses to be undertaken for bigeye, yellowfin, and skipjack tunas</w:t>
            </w:r>
          </w:p>
          <w:p w:rsidR="000254E4" w:rsidRPr="00C42F15" w:rsidRDefault="000254E4" w:rsidP="000254E4">
            <w:pPr>
              <w:pStyle w:val="ListParagraph"/>
              <w:numPr>
                <w:ilvl w:val="0"/>
                <w:numId w:val="22"/>
              </w:numPr>
              <w:ind w:left="144" w:hanging="144"/>
              <w:contextualSpacing/>
              <w:rPr>
                <w:sz w:val="22"/>
                <w:szCs w:val="22"/>
              </w:rPr>
            </w:pPr>
            <w:r w:rsidRPr="00C42F15">
              <w:rPr>
                <w:sz w:val="22"/>
                <w:szCs w:val="22"/>
              </w:rPr>
              <w:t>SC papers</w:t>
            </w:r>
          </w:p>
          <w:p w:rsidR="000254E4" w:rsidRPr="00C42F15" w:rsidRDefault="000254E4" w:rsidP="000254E4">
            <w:pPr>
              <w:pStyle w:val="ListParagraph"/>
              <w:numPr>
                <w:ilvl w:val="0"/>
                <w:numId w:val="22"/>
              </w:numPr>
              <w:ind w:left="144" w:hanging="144"/>
              <w:contextualSpacing/>
              <w:rPr>
                <w:sz w:val="22"/>
                <w:szCs w:val="22"/>
              </w:rPr>
            </w:pPr>
            <w:r w:rsidRPr="00C42F15">
              <w:rPr>
                <w:i/>
                <w:sz w:val="22"/>
                <w:szCs w:val="22"/>
              </w:rPr>
              <w:t>See ERA for shark work</w:t>
            </w:r>
          </w:p>
        </w:tc>
        <w:tc>
          <w:tcPr>
            <w:tcW w:w="1440" w:type="dxa"/>
            <w:tcBorders>
              <w:bottom w:val="single" w:sz="4" w:space="0" w:color="auto"/>
            </w:tcBorders>
          </w:tcPr>
          <w:p w:rsidR="000254E4" w:rsidRPr="00C42F15" w:rsidRDefault="000254E4" w:rsidP="00DB7515">
            <w:pPr>
              <w:rPr>
                <w:sz w:val="22"/>
                <w:szCs w:val="22"/>
              </w:rPr>
            </w:pPr>
            <w:r w:rsidRPr="00C42F15">
              <w:rPr>
                <w:sz w:val="22"/>
                <w:szCs w:val="22"/>
              </w:rPr>
              <w:t>Mid-July</w:t>
            </w:r>
          </w:p>
        </w:tc>
        <w:tc>
          <w:tcPr>
            <w:tcW w:w="1828" w:type="dxa"/>
            <w:tcBorders>
              <w:bottom w:val="single" w:sz="4" w:space="0" w:color="auto"/>
            </w:tcBorders>
          </w:tcPr>
          <w:p w:rsidR="000254E4" w:rsidRPr="00C42F15" w:rsidRDefault="000254E4" w:rsidP="00DB7515">
            <w:pPr>
              <w:rPr>
                <w:sz w:val="22"/>
                <w:szCs w:val="22"/>
              </w:rPr>
            </w:pPr>
          </w:p>
        </w:tc>
      </w:tr>
      <w:tr w:rsidR="000254E4" w:rsidRPr="00C42F15" w:rsidTr="000254E4">
        <w:trPr>
          <w:tblHeader/>
        </w:trPr>
        <w:tc>
          <w:tcPr>
            <w:tcW w:w="1098" w:type="dxa"/>
            <w:shd w:val="clear" w:color="auto" w:fill="000000" w:themeFill="text1"/>
          </w:tcPr>
          <w:p w:rsidR="000254E4" w:rsidRPr="00C42F15" w:rsidRDefault="000254E4" w:rsidP="00DB7515">
            <w:pPr>
              <w:jc w:val="center"/>
              <w:rPr>
                <w:sz w:val="22"/>
                <w:szCs w:val="22"/>
              </w:rPr>
            </w:pPr>
          </w:p>
        </w:tc>
        <w:tc>
          <w:tcPr>
            <w:tcW w:w="7380" w:type="dxa"/>
            <w:shd w:val="clear" w:color="auto" w:fill="000000" w:themeFill="text1"/>
          </w:tcPr>
          <w:p w:rsidR="000254E4" w:rsidRPr="00C42F15" w:rsidRDefault="000254E4" w:rsidP="00DB7515">
            <w:pPr>
              <w:rPr>
                <w:sz w:val="22"/>
                <w:szCs w:val="22"/>
              </w:rPr>
            </w:pPr>
          </w:p>
        </w:tc>
        <w:tc>
          <w:tcPr>
            <w:tcW w:w="2430" w:type="dxa"/>
            <w:shd w:val="clear" w:color="auto" w:fill="000000" w:themeFill="text1"/>
          </w:tcPr>
          <w:p w:rsidR="000254E4" w:rsidRPr="00C42F15" w:rsidRDefault="000254E4" w:rsidP="00DB7515">
            <w:pPr>
              <w:rPr>
                <w:sz w:val="22"/>
                <w:szCs w:val="22"/>
              </w:rPr>
            </w:pPr>
          </w:p>
        </w:tc>
        <w:tc>
          <w:tcPr>
            <w:tcW w:w="1440" w:type="dxa"/>
            <w:shd w:val="clear" w:color="auto" w:fill="000000" w:themeFill="text1"/>
          </w:tcPr>
          <w:p w:rsidR="000254E4" w:rsidRPr="00C42F15" w:rsidRDefault="000254E4" w:rsidP="00DB7515">
            <w:pPr>
              <w:rPr>
                <w:sz w:val="22"/>
                <w:szCs w:val="22"/>
              </w:rPr>
            </w:pPr>
          </w:p>
        </w:tc>
        <w:tc>
          <w:tcPr>
            <w:tcW w:w="1828" w:type="dxa"/>
            <w:shd w:val="clear" w:color="auto" w:fill="000000" w:themeFill="text1"/>
          </w:tcPr>
          <w:p w:rsidR="000254E4" w:rsidRPr="00C42F15" w:rsidRDefault="000254E4" w:rsidP="00DB7515">
            <w:pPr>
              <w:rPr>
                <w:sz w:val="22"/>
                <w:szCs w:val="22"/>
              </w:rPr>
            </w:pPr>
          </w:p>
        </w:tc>
      </w:tr>
      <w:tr w:rsidR="000254E4" w:rsidRPr="00C42F15" w:rsidTr="000254E4">
        <w:trPr>
          <w:tblHeader/>
        </w:trPr>
        <w:tc>
          <w:tcPr>
            <w:tcW w:w="1098" w:type="dxa"/>
          </w:tcPr>
          <w:p w:rsidR="000254E4" w:rsidRPr="00C42F15" w:rsidRDefault="000254E4" w:rsidP="00DB7515">
            <w:pPr>
              <w:jc w:val="center"/>
              <w:rPr>
                <w:b/>
                <w:sz w:val="22"/>
                <w:szCs w:val="22"/>
              </w:rPr>
            </w:pPr>
            <w:r w:rsidRPr="00C42F15">
              <w:rPr>
                <w:b/>
                <w:sz w:val="22"/>
                <w:szCs w:val="22"/>
              </w:rPr>
              <w:t>vii.</w:t>
            </w:r>
          </w:p>
          <w:p w:rsidR="000254E4" w:rsidRPr="00C42F15" w:rsidRDefault="000254E4" w:rsidP="00DB7515">
            <w:pPr>
              <w:jc w:val="center"/>
              <w:rPr>
                <w:b/>
                <w:sz w:val="22"/>
                <w:szCs w:val="22"/>
              </w:rPr>
            </w:pPr>
            <w:r w:rsidRPr="00C42F15">
              <w:rPr>
                <w:b/>
                <w:sz w:val="22"/>
                <w:szCs w:val="22"/>
              </w:rPr>
              <w:t>(29, 32)</w:t>
            </w:r>
          </w:p>
        </w:tc>
        <w:tc>
          <w:tcPr>
            <w:tcW w:w="7380" w:type="dxa"/>
            <w:vAlign w:val="center"/>
          </w:tcPr>
          <w:p w:rsidR="000254E4" w:rsidRPr="00C42F15" w:rsidRDefault="000254E4" w:rsidP="00DB7515">
            <w:pPr>
              <w:rPr>
                <w:b/>
                <w:i/>
                <w:sz w:val="22"/>
                <w:szCs w:val="22"/>
              </w:rPr>
            </w:pPr>
            <w:r w:rsidRPr="00C42F15">
              <w:rPr>
                <w:b/>
                <w:i/>
                <w:sz w:val="22"/>
                <w:szCs w:val="22"/>
              </w:rPr>
              <w:t>Model development and refinement</w:t>
            </w:r>
          </w:p>
        </w:tc>
        <w:tc>
          <w:tcPr>
            <w:tcW w:w="2430" w:type="dxa"/>
          </w:tcPr>
          <w:p w:rsidR="000254E4" w:rsidRPr="00C42F15" w:rsidRDefault="000254E4" w:rsidP="00DB7515">
            <w:pPr>
              <w:rPr>
                <w:sz w:val="22"/>
                <w:szCs w:val="22"/>
              </w:rPr>
            </w:pPr>
          </w:p>
        </w:tc>
        <w:tc>
          <w:tcPr>
            <w:tcW w:w="1440" w:type="dxa"/>
          </w:tcPr>
          <w:p w:rsidR="000254E4" w:rsidRPr="00C42F15" w:rsidRDefault="000254E4" w:rsidP="00DB7515">
            <w:pPr>
              <w:rPr>
                <w:sz w:val="22"/>
                <w:szCs w:val="22"/>
              </w:rPr>
            </w:pPr>
          </w:p>
        </w:tc>
        <w:tc>
          <w:tcPr>
            <w:tcW w:w="1828" w:type="dxa"/>
          </w:tcPr>
          <w:p w:rsidR="000254E4" w:rsidRPr="00C42F15" w:rsidRDefault="000254E4" w:rsidP="00DB7515">
            <w:pPr>
              <w:rPr>
                <w:sz w:val="22"/>
                <w:szCs w:val="22"/>
              </w:rPr>
            </w:pPr>
          </w:p>
        </w:tc>
      </w:tr>
      <w:tr w:rsidR="000254E4" w:rsidRPr="00C42F15" w:rsidTr="000254E4">
        <w:trPr>
          <w:tblHeader/>
        </w:trPr>
        <w:tc>
          <w:tcPr>
            <w:tcW w:w="1098" w:type="dxa"/>
            <w:tcBorders>
              <w:bottom w:val="single" w:sz="4" w:space="0" w:color="auto"/>
            </w:tcBorders>
          </w:tcPr>
          <w:p w:rsidR="000254E4" w:rsidRPr="00C42F15" w:rsidRDefault="000254E4" w:rsidP="00DB7515">
            <w:pPr>
              <w:jc w:val="center"/>
              <w:rPr>
                <w:sz w:val="22"/>
                <w:szCs w:val="22"/>
              </w:rPr>
            </w:pPr>
          </w:p>
        </w:tc>
        <w:tc>
          <w:tcPr>
            <w:tcW w:w="7380" w:type="dxa"/>
            <w:tcBorders>
              <w:bottom w:val="single" w:sz="4" w:space="0" w:color="auto"/>
            </w:tcBorders>
          </w:tcPr>
          <w:p w:rsidR="000254E4" w:rsidRPr="00C42F15" w:rsidRDefault="000254E4" w:rsidP="00DB7515">
            <w:pPr>
              <w:rPr>
                <w:sz w:val="22"/>
                <w:szCs w:val="22"/>
              </w:rPr>
            </w:pPr>
            <w:r w:rsidRPr="00C42F15">
              <w:rPr>
                <w:sz w:val="22"/>
                <w:szCs w:val="22"/>
              </w:rPr>
              <w:t>1) Further refinement of the stock assessment model, MULTIFAN-CL, including simulation testing of new developments as appropriate and refinement of models for CPUE standardization.</w:t>
            </w:r>
          </w:p>
        </w:tc>
        <w:tc>
          <w:tcPr>
            <w:tcW w:w="2430" w:type="dxa"/>
            <w:tcBorders>
              <w:bottom w:val="single" w:sz="4" w:space="0" w:color="auto"/>
            </w:tcBorders>
          </w:tcPr>
          <w:p w:rsidR="000254E4" w:rsidRPr="00C42F15" w:rsidRDefault="000254E4" w:rsidP="000254E4">
            <w:pPr>
              <w:pStyle w:val="ListParagraph"/>
              <w:numPr>
                <w:ilvl w:val="0"/>
                <w:numId w:val="23"/>
              </w:numPr>
              <w:ind w:left="144" w:hanging="144"/>
              <w:contextualSpacing/>
              <w:rPr>
                <w:sz w:val="22"/>
                <w:szCs w:val="22"/>
              </w:rPr>
            </w:pPr>
            <w:r w:rsidRPr="00C42F15">
              <w:rPr>
                <w:sz w:val="22"/>
                <w:szCs w:val="22"/>
              </w:rPr>
              <w:t>Updated stock assessment modeling software and documentation posted on the MULTIFAN-CL website (also linked from WCPFC)</w:t>
            </w:r>
          </w:p>
          <w:p w:rsidR="000254E4" w:rsidRPr="00C42F15" w:rsidRDefault="000254E4" w:rsidP="000254E4">
            <w:pPr>
              <w:pStyle w:val="ListParagraph"/>
              <w:numPr>
                <w:ilvl w:val="0"/>
                <w:numId w:val="23"/>
              </w:numPr>
              <w:ind w:left="144" w:hanging="144"/>
              <w:contextualSpacing/>
              <w:rPr>
                <w:sz w:val="22"/>
                <w:szCs w:val="22"/>
              </w:rPr>
            </w:pPr>
            <w:r w:rsidRPr="00C42F15">
              <w:rPr>
                <w:sz w:val="22"/>
                <w:szCs w:val="22"/>
              </w:rPr>
              <w:t>SC paper</w:t>
            </w:r>
          </w:p>
        </w:tc>
        <w:tc>
          <w:tcPr>
            <w:tcW w:w="1440" w:type="dxa"/>
            <w:tcBorders>
              <w:bottom w:val="single" w:sz="4" w:space="0" w:color="auto"/>
            </w:tcBorders>
          </w:tcPr>
          <w:p w:rsidR="000254E4" w:rsidRPr="00C42F15" w:rsidRDefault="000254E4" w:rsidP="00DB7515">
            <w:pPr>
              <w:rPr>
                <w:sz w:val="22"/>
                <w:szCs w:val="22"/>
              </w:rPr>
            </w:pPr>
            <w:r w:rsidRPr="00C42F15">
              <w:rPr>
                <w:sz w:val="22"/>
                <w:szCs w:val="22"/>
              </w:rPr>
              <w:t>Mid-July</w:t>
            </w:r>
          </w:p>
        </w:tc>
        <w:tc>
          <w:tcPr>
            <w:tcW w:w="1828" w:type="dxa"/>
            <w:tcBorders>
              <w:bottom w:val="single" w:sz="4" w:space="0" w:color="auto"/>
            </w:tcBorders>
          </w:tcPr>
          <w:p w:rsidR="000254E4" w:rsidRPr="00C42F15" w:rsidRDefault="000254E4" w:rsidP="00DB7515">
            <w:pPr>
              <w:rPr>
                <w:sz w:val="22"/>
                <w:szCs w:val="22"/>
              </w:rPr>
            </w:pPr>
          </w:p>
        </w:tc>
      </w:tr>
      <w:tr w:rsidR="000254E4" w:rsidRPr="00C42F15" w:rsidTr="000254E4">
        <w:trPr>
          <w:tblHeader/>
        </w:trPr>
        <w:tc>
          <w:tcPr>
            <w:tcW w:w="1098" w:type="dxa"/>
            <w:shd w:val="clear" w:color="auto" w:fill="000000" w:themeFill="text1"/>
          </w:tcPr>
          <w:p w:rsidR="000254E4" w:rsidRPr="00C42F15" w:rsidRDefault="000254E4" w:rsidP="00DB7515">
            <w:pPr>
              <w:jc w:val="center"/>
              <w:rPr>
                <w:sz w:val="22"/>
                <w:szCs w:val="22"/>
              </w:rPr>
            </w:pPr>
          </w:p>
        </w:tc>
        <w:tc>
          <w:tcPr>
            <w:tcW w:w="7380" w:type="dxa"/>
            <w:shd w:val="clear" w:color="auto" w:fill="000000" w:themeFill="text1"/>
          </w:tcPr>
          <w:p w:rsidR="000254E4" w:rsidRPr="00C42F15" w:rsidRDefault="000254E4" w:rsidP="00DB7515">
            <w:pPr>
              <w:rPr>
                <w:sz w:val="22"/>
                <w:szCs w:val="22"/>
              </w:rPr>
            </w:pPr>
          </w:p>
        </w:tc>
        <w:tc>
          <w:tcPr>
            <w:tcW w:w="2430" w:type="dxa"/>
            <w:shd w:val="clear" w:color="auto" w:fill="000000" w:themeFill="text1"/>
          </w:tcPr>
          <w:p w:rsidR="000254E4" w:rsidRPr="00C42F15" w:rsidRDefault="000254E4" w:rsidP="00DB7515">
            <w:pPr>
              <w:rPr>
                <w:sz w:val="22"/>
                <w:szCs w:val="22"/>
              </w:rPr>
            </w:pPr>
          </w:p>
        </w:tc>
        <w:tc>
          <w:tcPr>
            <w:tcW w:w="1440" w:type="dxa"/>
            <w:shd w:val="clear" w:color="auto" w:fill="000000" w:themeFill="text1"/>
          </w:tcPr>
          <w:p w:rsidR="000254E4" w:rsidRPr="00C42F15" w:rsidRDefault="000254E4" w:rsidP="00DB7515">
            <w:pPr>
              <w:rPr>
                <w:sz w:val="22"/>
                <w:szCs w:val="22"/>
              </w:rPr>
            </w:pPr>
          </w:p>
        </w:tc>
        <w:tc>
          <w:tcPr>
            <w:tcW w:w="1828" w:type="dxa"/>
            <w:shd w:val="clear" w:color="auto" w:fill="000000" w:themeFill="text1"/>
          </w:tcPr>
          <w:p w:rsidR="000254E4" w:rsidRPr="00C42F15" w:rsidRDefault="000254E4" w:rsidP="00DB7515">
            <w:pPr>
              <w:rPr>
                <w:sz w:val="22"/>
                <w:szCs w:val="22"/>
              </w:rPr>
            </w:pPr>
          </w:p>
        </w:tc>
      </w:tr>
    </w:tbl>
    <w:p w:rsidR="000254E4" w:rsidRPr="00C42F15" w:rsidRDefault="000254E4" w:rsidP="000254E4">
      <w:pPr>
        <w:rPr>
          <w:sz w:val="22"/>
          <w:szCs w:val="22"/>
        </w:rPr>
      </w:pPr>
    </w:p>
    <w:p w:rsidR="000254E4" w:rsidRPr="00C42F15" w:rsidRDefault="000254E4" w:rsidP="000254E4">
      <w:pPr>
        <w:rPr>
          <w:sz w:val="22"/>
          <w:szCs w:val="22"/>
        </w:rPr>
      </w:pPr>
    </w:p>
    <w:p w:rsidR="000254E4" w:rsidRPr="00C42F15" w:rsidRDefault="000254E4">
      <w:pPr>
        <w:spacing w:after="200" w:line="276" w:lineRule="auto"/>
        <w:rPr>
          <w:sz w:val="22"/>
          <w:szCs w:val="22"/>
        </w:rPr>
      </w:pPr>
      <w:r w:rsidRPr="00C42F15">
        <w:rPr>
          <w:sz w:val="22"/>
          <w:szCs w:val="22"/>
        </w:rPr>
        <w:br w:type="page"/>
      </w:r>
    </w:p>
    <w:tbl>
      <w:tblPr>
        <w:tblStyle w:val="TableGrid"/>
        <w:tblW w:w="14176" w:type="dxa"/>
        <w:tblLayout w:type="fixed"/>
        <w:tblLook w:val="04A0"/>
      </w:tblPr>
      <w:tblGrid>
        <w:gridCol w:w="1098"/>
        <w:gridCol w:w="7380"/>
        <w:gridCol w:w="2430"/>
        <w:gridCol w:w="90"/>
        <w:gridCol w:w="1350"/>
        <w:gridCol w:w="90"/>
        <w:gridCol w:w="1738"/>
      </w:tblGrid>
      <w:tr w:rsidR="000254E4" w:rsidRPr="00C42F15" w:rsidTr="000254E4">
        <w:trPr>
          <w:tblHeader/>
        </w:trPr>
        <w:tc>
          <w:tcPr>
            <w:tcW w:w="14176" w:type="dxa"/>
            <w:gridSpan w:val="7"/>
            <w:shd w:val="pct10" w:color="auto" w:fill="auto"/>
          </w:tcPr>
          <w:p w:rsidR="000254E4" w:rsidRPr="00C42F15" w:rsidRDefault="000254E4" w:rsidP="00DB7515">
            <w:pPr>
              <w:jc w:val="center"/>
              <w:rPr>
                <w:b/>
                <w:i/>
                <w:sz w:val="22"/>
                <w:szCs w:val="22"/>
              </w:rPr>
            </w:pPr>
            <w:r w:rsidRPr="00C42F15">
              <w:rPr>
                <w:b/>
                <w:i/>
                <w:sz w:val="22"/>
                <w:szCs w:val="22"/>
              </w:rPr>
              <w:lastRenderedPageBreak/>
              <w:t>Management analyses and CMM performance monitoring</w:t>
            </w:r>
          </w:p>
        </w:tc>
      </w:tr>
      <w:tr w:rsidR="000254E4" w:rsidRPr="00C42F15" w:rsidTr="000254E4">
        <w:trPr>
          <w:tblHeader/>
        </w:trPr>
        <w:tc>
          <w:tcPr>
            <w:tcW w:w="1098" w:type="dxa"/>
          </w:tcPr>
          <w:p w:rsidR="000254E4" w:rsidRPr="00C42F15" w:rsidRDefault="000254E4" w:rsidP="00DB7515">
            <w:pPr>
              <w:jc w:val="center"/>
              <w:rPr>
                <w:b/>
                <w:sz w:val="22"/>
                <w:szCs w:val="22"/>
              </w:rPr>
            </w:pPr>
            <w:r w:rsidRPr="00C42F15">
              <w:rPr>
                <w:b/>
                <w:sz w:val="22"/>
                <w:szCs w:val="22"/>
              </w:rPr>
              <w:t>viii.</w:t>
            </w:r>
          </w:p>
        </w:tc>
        <w:tc>
          <w:tcPr>
            <w:tcW w:w="7380" w:type="dxa"/>
          </w:tcPr>
          <w:p w:rsidR="000254E4" w:rsidRPr="00C42F15" w:rsidRDefault="000254E4" w:rsidP="00DB7515">
            <w:pPr>
              <w:rPr>
                <w:b/>
                <w:i/>
                <w:sz w:val="22"/>
                <w:szCs w:val="22"/>
              </w:rPr>
            </w:pPr>
            <w:r w:rsidRPr="00C42F15">
              <w:rPr>
                <w:b/>
                <w:i/>
                <w:sz w:val="22"/>
                <w:szCs w:val="22"/>
              </w:rPr>
              <w:t>Conservation and Management Measure performance monitoring</w:t>
            </w:r>
          </w:p>
        </w:tc>
        <w:tc>
          <w:tcPr>
            <w:tcW w:w="2520" w:type="dxa"/>
            <w:gridSpan w:val="2"/>
          </w:tcPr>
          <w:p w:rsidR="000254E4" w:rsidRPr="00C42F15" w:rsidRDefault="000254E4" w:rsidP="00DB7515">
            <w:pPr>
              <w:rPr>
                <w:sz w:val="22"/>
                <w:szCs w:val="22"/>
              </w:rPr>
            </w:pPr>
          </w:p>
        </w:tc>
        <w:tc>
          <w:tcPr>
            <w:tcW w:w="1350" w:type="dxa"/>
          </w:tcPr>
          <w:p w:rsidR="000254E4" w:rsidRPr="00C42F15" w:rsidRDefault="000254E4" w:rsidP="00DB7515">
            <w:pPr>
              <w:rPr>
                <w:sz w:val="22"/>
                <w:szCs w:val="22"/>
              </w:rPr>
            </w:pPr>
          </w:p>
        </w:tc>
        <w:tc>
          <w:tcPr>
            <w:tcW w:w="1828" w:type="dxa"/>
            <w:gridSpan w:val="2"/>
          </w:tcPr>
          <w:p w:rsidR="000254E4" w:rsidRPr="00C42F15" w:rsidRDefault="000254E4" w:rsidP="00DB7515">
            <w:pPr>
              <w:rPr>
                <w:sz w:val="22"/>
                <w:szCs w:val="22"/>
              </w:rPr>
            </w:pPr>
          </w:p>
        </w:tc>
      </w:tr>
      <w:tr w:rsidR="000254E4" w:rsidRPr="00C42F15" w:rsidTr="000254E4">
        <w:trPr>
          <w:tblHeader/>
        </w:trPr>
        <w:tc>
          <w:tcPr>
            <w:tcW w:w="1098" w:type="dxa"/>
            <w:tcBorders>
              <w:bottom w:val="single" w:sz="4" w:space="0" w:color="auto"/>
            </w:tcBorders>
          </w:tcPr>
          <w:p w:rsidR="000254E4" w:rsidRPr="00C42F15" w:rsidRDefault="000254E4" w:rsidP="00DB7515">
            <w:pPr>
              <w:jc w:val="center"/>
              <w:rPr>
                <w:sz w:val="22"/>
                <w:szCs w:val="22"/>
              </w:rPr>
            </w:pPr>
          </w:p>
        </w:tc>
        <w:tc>
          <w:tcPr>
            <w:tcW w:w="7380" w:type="dxa"/>
            <w:tcBorders>
              <w:bottom w:val="single" w:sz="4" w:space="0" w:color="auto"/>
            </w:tcBorders>
          </w:tcPr>
          <w:p w:rsidR="000254E4" w:rsidRPr="00C42F15" w:rsidRDefault="000254E4" w:rsidP="00DB7515">
            <w:pPr>
              <w:rPr>
                <w:sz w:val="22"/>
                <w:szCs w:val="22"/>
              </w:rPr>
            </w:pPr>
            <w:r w:rsidRPr="00C42F15">
              <w:rPr>
                <w:sz w:val="22"/>
                <w:szCs w:val="22"/>
                <w:u w:val="single"/>
              </w:rPr>
              <w:t>1) CMM-2008-01 [BET and YFT]</w:t>
            </w:r>
            <w:r w:rsidRPr="00C42F15">
              <w:rPr>
                <w:sz w:val="22"/>
                <w:szCs w:val="22"/>
              </w:rPr>
              <w:t xml:space="preserve">: </w:t>
            </w:r>
          </w:p>
          <w:p w:rsidR="000254E4" w:rsidRPr="00C42F15" w:rsidRDefault="000254E4" w:rsidP="00DB7515">
            <w:pPr>
              <w:rPr>
                <w:sz w:val="22"/>
                <w:szCs w:val="22"/>
              </w:rPr>
            </w:pPr>
            <w:r w:rsidRPr="00C42F15">
              <w:rPr>
                <w:sz w:val="22"/>
                <w:szCs w:val="22"/>
              </w:rPr>
              <w:t>Provide available data, information, and advice for evaluating the impact of, and compliance with, the various provisions. This includes</w:t>
            </w:r>
            <w:r w:rsidRPr="00C42F15">
              <w:rPr>
                <w:rStyle w:val="FootnoteReference"/>
                <w:sz w:val="22"/>
                <w:szCs w:val="22"/>
              </w:rPr>
              <w:footnoteReference w:id="3"/>
            </w:r>
            <w:r w:rsidRPr="00C42F15">
              <w:rPr>
                <w:sz w:val="22"/>
                <w:szCs w:val="22"/>
              </w:rPr>
              <w:t>:</w:t>
            </w:r>
          </w:p>
          <w:p w:rsidR="000254E4" w:rsidRPr="00C42F15" w:rsidRDefault="000254E4" w:rsidP="000254E4">
            <w:pPr>
              <w:pStyle w:val="ListParagraph"/>
              <w:numPr>
                <w:ilvl w:val="0"/>
                <w:numId w:val="16"/>
              </w:numPr>
              <w:contextualSpacing/>
              <w:rPr>
                <w:sz w:val="22"/>
                <w:szCs w:val="22"/>
              </w:rPr>
            </w:pPr>
            <w:r w:rsidRPr="00C42F15">
              <w:rPr>
                <w:sz w:val="22"/>
                <w:szCs w:val="22"/>
              </w:rPr>
              <w:t>Provide advice on the appropriateness of the objectives of the measure given available stock assessment information (paragraphs 1 and 46)*</w:t>
            </w:r>
          </w:p>
          <w:p w:rsidR="000254E4" w:rsidRPr="00C42F15" w:rsidRDefault="000254E4" w:rsidP="000254E4">
            <w:pPr>
              <w:pStyle w:val="ListParagraph"/>
              <w:numPr>
                <w:ilvl w:val="0"/>
                <w:numId w:val="16"/>
              </w:numPr>
              <w:contextualSpacing/>
              <w:rPr>
                <w:sz w:val="22"/>
                <w:szCs w:val="22"/>
              </w:rPr>
            </w:pPr>
            <w:r w:rsidRPr="00C42F15">
              <w:rPr>
                <w:sz w:val="22"/>
                <w:szCs w:val="22"/>
              </w:rPr>
              <w:t>Provide an assessment of the expected impacts of the provisions of the measure with respect to its objectives (paragraphs 1 and 46)*</w:t>
            </w:r>
          </w:p>
          <w:p w:rsidR="000254E4" w:rsidRPr="00C42F15" w:rsidRDefault="000254E4" w:rsidP="000254E4">
            <w:pPr>
              <w:pStyle w:val="ListParagraph"/>
              <w:numPr>
                <w:ilvl w:val="0"/>
                <w:numId w:val="16"/>
              </w:numPr>
              <w:contextualSpacing/>
              <w:rPr>
                <w:sz w:val="22"/>
                <w:szCs w:val="22"/>
              </w:rPr>
            </w:pPr>
            <w:r w:rsidRPr="00C42F15">
              <w:rPr>
                <w:sz w:val="22"/>
                <w:szCs w:val="22"/>
              </w:rPr>
              <w:t>Calculate total days fished of the purse seine fishery for EEZs, archipelagic waters, high seas regions, by flag (paragraphs 5, 9, 10, and 11)</w:t>
            </w:r>
          </w:p>
          <w:p w:rsidR="000254E4" w:rsidRPr="00C42F15" w:rsidRDefault="000254E4" w:rsidP="000254E4">
            <w:pPr>
              <w:pStyle w:val="ListParagraph"/>
              <w:numPr>
                <w:ilvl w:val="0"/>
                <w:numId w:val="16"/>
              </w:numPr>
              <w:contextualSpacing/>
              <w:rPr>
                <w:sz w:val="22"/>
                <w:szCs w:val="22"/>
              </w:rPr>
            </w:pPr>
            <w:r w:rsidRPr="00C42F15">
              <w:rPr>
                <w:sz w:val="22"/>
                <w:szCs w:val="22"/>
              </w:rPr>
              <w:t>Compile bigeye and yellowfin catch estimates from longline fisheries by flag, taking into account paragraphs 2 and 36, and the footnotes to the tables in Attachment F of the CMM2008-01</w:t>
            </w:r>
          </w:p>
          <w:p w:rsidR="000254E4" w:rsidRPr="00C42F15" w:rsidRDefault="000254E4" w:rsidP="000254E4">
            <w:pPr>
              <w:pStyle w:val="ListParagraph"/>
              <w:numPr>
                <w:ilvl w:val="0"/>
                <w:numId w:val="16"/>
              </w:numPr>
              <w:contextualSpacing/>
              <w:rPr>
                <w:sz w:val="22"/>
                <w:szCs w:val="22"/>
              </w:rPr>
            </w:pPr>
            <w:r w:rsidRPr="00C42F15">
              <w:rPr>
                <w:sz w:val="22"/>
                <w:szCs w:val="22"/>
              </w:rPr>
              <w:t>Characterisation of purse seine fishing activities during FAD closures*</w:t>
            </w:r>
          </w:p>
          <w:p w:rsidR="000254E4" w:rsidRPr="00C42F15" w:rsidRDefault="000254E4" w:rsidP="000254E4">
            <w:pPr>
              <w:pStyle w:val="ListParagraph"/>
              <w:numPr>
                <w:ilvl w:val="0"/>
                <w:numId w:val="16"/>
              </w:numPr>
              <w:contextualSpacing/>
              <w:rPr>
                <w:sz w:val="22"/>
                <w:szCs w:val="22"/>
              </w:rPr>
            </w:pPr>
            <w:r w:rsidRPr="00C42F15">
              <w:rPr>
                <w:sz w:val="22"/>
                <w:szCs w:val="22"/>
              </w:rPr>
              <w:t>Provide data and information to identify the level of compliance of CCMs in relation to data reporting requirements (paragraph 41)</w:t>
            </w:r>
          </w:p>
          <w:p w:rsidR="000254E4" w:rsidRPr="00C42F15" w:rsidRDefault="000254E4" w:rsidP="000254E4">
            <w:pPr>
              <w:pStyle w:val="ListParagraph"/>
              <w:numPr>
                <w:ilvl w:val="0"/>
                <w:numId w:val="16"/>
              </w:numPr>
              <w:contextualSpacing/>
              <w:rPr>
                <w:sz w:val="22"/>
                <w:szCs w:val="22"/>
              </w:rPr>
            </w:pPr>
            <w:r w:rsidRPr="00C42F15">
              <w:rPr>
                <w:sz w:val="22"/>
                <w:szCs w:val="22"/>
              </w:rPr>
              <w:t>Subject to data availability, update</w:t>
            </w:r>
            <w:r w:rsidRPr="00C42F15">
              <w:rPr>
                <w:bCs/>
                <w:sz w:val="22"/>
                <w:szCs w:val="22"/>
              </w:rPr>
              <w:t xml:space="preserve"> assessments on the CCM’s bigeye and yellowfin tuna catch and effort reported from other commercial tuna fisheries, and advice on CCM’s proposals, for consideration at SC6 (paragraph 39)</w:t>
            </w:r>
          </w:p>
          <w:p w:rsidR="000254E4" w:rsidRPr="00C42F15" w:rsidRDefault="000254E4" w:rsidP="000254E4">
            <w:pPr>
              <w:pStyle w:val="ListParagraph"/>
              <w:numPr>
                <w:ilvl w:val="0"/>
                <w:numId w:val="16"/>
              </w:numPr>
              <w:contextualSpacing/>
              <w:rPr>
                <w:sz w:val="22"/>
                <w:szCs w:val="22"/>
              </w:rPr>
            </w:pPr>
            <w:r w:rsidRPr="00C42F15">
              <w:rPr>
                <w:sz w:val="22"/>
                <w:szCs w:val="22"/>
              </w:rPr>
              <w:t xml:space="preserve">Update, if necessary, data, information and advice to further consider at SC6 a HS VDS for purse seine effort management (paragraph 21) </w:t>
            </w:r>
          </w:p>
        </w:tc>
        <w:tc>
          <w:tcPr>
            <w:tcW w:w="2520" w:type="dxa"/>
            <w:gridSpan w:val="2"/>
            <w:tcBorders>
              <w:bottom w:val="single" w:sz="4" w:space="0" w:color="auto"/>
            </w:tcBorders>
          </w:tcPr>
          <w:p w:rsidR="000254E4" w:rsidRPr="00C42F15" w:rsidRDefault="000254E4" w:rsidP="000254E4">
            <w:pPr>
              <w:pStyle w:val="ListParagraph"/>
              <w:numPr>
                <w:ilvl w:val="0"/>
                <w:numId w:val="24"/>
              </w:numPr>
              <w:ind w:left="144" w:hanging="144"/>
              <w:contextualSpacing/>
              <w:rPr>
                <w:sz w:val="22"/>
                <w:szCs w:val="22"/>
              </w:rPr>
            </w:pPr>
            <w:r w:rsidRPr="00C42F15">
              <w:rPr>
                <w:sz w:val="22"/>
                <w:szCs w:val="22"/>
              </w:rPr>
              <w:t>SC, TCC, and WCPFC papers</w:t>
            </w:r>
          </w:p>
          <w:p w:rsidR="000254E4" w:rsidRPr="00C42F15" w:rsidRDefault="000254E4" w:rsidP="000254E4">
            <w:pPr>
              <w:pStyle w:val="ListParagraph"/>
              <w:numPr>
                <w:ilvl w:val="0"/>
                <w:numId w:val="24"/>
              </w:numPr>
              <w:ind w:left="144" w:hanging="144"/>
              <w:contextualSpacing/>
              <w:rPr>
                <w:sz w:val="22"/>
                <w:szCs w:val="22"/>
              </w:rPr>
            </w:pPr>
            <w:r w:rsidRPr="00C42F15">
              <w:rPr>
                <w:sz w:val="22"/>
                <w:szCs w:val="22"/>
              </w:rPr>
              <w:t>Tables and figures and required</w:t>
            </w:r>
          </w:p>
        </w:tc>
        <w:tc>
          <w:tcPr>
            <w:tcW w:w="1350" w:type="dxa"/>
            <w:tcBorders>
              <w:bottom w:val="single" w:sz="4" w:space="0" w:color="auto"/>
            </w:tcBorders>
          </w:tcPr>
          <w:p w:rsidR="000254E4" w:rsidRPr="00C42F15" w:rsidRDefault="000254E4" w:rsidP="00DB7515">
            <w:pPr>
              <w:rPr>
                <w:sz w:val="22"/>
                <w:szCs w:val="22"/>
              </w:rPr>
            </w:pPr>
            <w:r w:rsidRPr="00C42F15">
              <w:rPr>
                <w:sz w:val="22"/>
                <w:szCs w:val="22"/>
              </w:rPr>
              <w:t>Mid-July, Mid-Sept, and Mid-Nov</w:t>
            </w:r>
          </w:p>
        </w:tc>
        <w:tc>
          <w:tcPr>
            <w:tcW w:w="1828" w:type="dxa"/>
            <w:gridSpan w:val="2"/>
            <w:tcBorders>
              <w:bottom w:val="single" w:sz="4" w:space="0" w:color="auto"/>
            </w:tcBorders>
          </w:tcPr>
          <w:p w:rsidR="000254E4" w:rsidRPr="00C42F15" w:rsidRDefault="000254E4" w:rsidP="00DB7515">
            <w:pPr>
              <w:rPr>
                <w:sz w:val="22"/>
                <w:szCs w:val="22"/>
              </w:rPr>
            </w:pPr>
          </w:p>
        </w:tc>
      </w:tr>
      <w:tr w:rsidR="000254E4" w:rsidRPr="00C42F15" w:rsidTr="000254E4">
        <w:trPr>
          <w:tblHeader/>
        </w:trPr>
        <w:tc>
          <w:tcPr>
            <w:tcW w:w="1098" w:type="dxa"/>
            <w:shd w:val="clear" w:color="auto" w:fill="000000" w:themeFill="text1"/>
          </w:tcPr>
          <w:p w:rsidR="000254E4" w:rsidRPr="00C42F15" w:rsidRDefault="000254E4" w:rsidP="00DB7515">
            <w:pPr>
              <w:jc w:val="center"/>
              <w:rPr>
                <w:sz w:val="22"/>
                <w:szCs w:val="22"/>
              </w:rPr>
            </w:pPr>
          </w:p>
        </w:tc>
        <w:tc>
          <w:tcPr>
            <w:tcW w:w="7380" w:type="dxa"/>
            <w:shd w:val="clear" w:color="auto" w:fill="000000" w:themeFill="text1"/>
          </w:tcPr>
          <w:p w:rsidR="000254E4" w:rsidRPr="00C42F15" w:rsidRDefault="000254E4" w:rsidP="00DB7515">
            <w:pPr>
              <w:rPr>
                <w:sz w:val="22"/>
                <w:szCs w:val="22"/>
                <w:u w:val="single"/>
              </w:rPr>
            </w:pPr>
          </w:p>
        </w:tc>
        <w:tc>
          <w:tcPr>
            <w:tcW w:w="2520" w:type="dxa"/>
            <w:gridSpan w:val="2"/>
            <w:shd w:val="clear" w:color="auto" w:fill="000000" w:themeFill="text1"/>
          </w:tcPr>
          <w:p w:rsidR="000254E4" w:rsidRPr="00C42F15" w:rsidRDefault="000254E4" w:rsidP="00DB7515">
            <w:pPr>
              <w:rPr>
                <w:sz w:val="22"/>
                <w:szCs w:val="22"/>
              </w:rPr>
            </w:pPr>
          </w:p>
        </w:tc>
        <w:tc>
          <w:tcPr>
            <w:tcW w:w="1350" w:type="dxa"/>
            <w:shd w:val="clear" w:color="auto" w:fill="000000" w:themeFill="text1"/>
          </w:tcPr>
          <w:p w:rsidR="000254E4" w:rsidRPr="00C42F15" w:rsidRDefault="000254E4" w:rsidP="00DB7515">
            <w:pPr>
              <w:rPr>
                <w:sz w:val="22"/>
                <w:szCs w:val="22"/>
              </w:rPr>
            </w:pPr>
          </w:p>
        </w:tc>
        <w:tc>
          <w:tcPr>
            <w:tcW w:w="1828" w:type="dxa"/>
            <w:gridSpan w:val="2"/>
            <w:shd w:val="clear" w:color="auto" w:fill="000000" w:themeFill="text1"/>
          </w:tcPr>
          <w:p w:rsidR="000254E4" w:rsidRPr="00C42F15" w:rsidRDefault="000254E4" w:rsidP="00DB7515">
            <w:pPr>
              <w:rPr>
                <w:sz w:val="22"/>
                <w:szCs w:val="22"/>
              </w:rPr>
            </w:pPr>
          </w:p>
        </w:tc>
      </w:tr>
      <w:tr w:rsidR="000254E4" w:rsidRPr="00C42F15" w:rsidTr="000254E4">
        <w:trPr>
          <w:tblHeader/>
        </w:trPr>
        <w:tc>
          <w:tcPr>
            <w:tcW w:w="1098" w:type="dxa"/>
          </w:tcPr>
          <w:p w:rsidR="000254E4" w:rsidRPr="00C42F15" w:rsidRDefault="000254E4" w:rsidP="00DB7515">
            <w:pPr>
              <w:jc w:val="center"/>
              <w:rPr>
                <w:b/>
                <w:sz w:val="22"/>
                <w:szCs w:val="22"/>
              </w:rPr>
            </w:pPr>
            <w:r w:rsidRPr="00C42F15">
              <w:rPr>
                <w:b/>
                <w:sz w:val="22"/>
                <w:szCs w:val="22"/>
              </w:rPr>
              <w:t>ix.</w:t>
            </w:r>
          </w:p>
          <w:p w:rsidR="000254E4" w:rsidRPr="00C42F15" w:rsidRDefault="000254E4" w:rsidP="00DB7515">
            <w:pPr>
              <w:jc w:val="center"/>
              <w:rPr>
                <w:b/>
                <w:sz w:val="22"/>
                <w:szCs w:val="22"/>
              </w:rPr>
            </w:pPr>
            <w:r w:rsidRPr="00C42F15">
              <w:rPr>
                <w:b/>
                <w:sz w:val="22"/>
                <w:szCs w:val="22"/>
              </w:rPr>
              <w:t>(34, 57, 58, 63)</w:t>
            </w:r>
          </w:p>
        </w:tc>
        <w:tc>
          <w:tcPr>
            <w:tcW w:w="7380" w:type="dxa"/>
            <w:vAlign w:val="center"/>
          </w:tcPr>
          <w:p w:rsidR="000254E4" w:rsidRPr="00C42F15" w:rsidRDefault="000254E4" w:rsidP="00DB7515">
            <w:pPr>
              <w:rPr>
                <w:b/>
                <w:i/>
                <w:sz w:val="22"/>
                <w:szCs w:val="22"/>
              </w:rPr>
            </w:pPr>
            <w:r w:rsidRPr="00C42F15">
              <w:rPr>
                <w:b/>
                <w:i/>
                <w:sz w:val="22"/>
                <w:szCs w:val="22"/>
              </w:rPr>
              <w:t>Analyses to support development of Conservation and Management Measures</w:t>
            </w:r>
          </w:p>
        </w:tc>
        <w:tc>
          <w:tcPr>
            <w:tcW w:w="2520" w:type="dxa"/>
            <w:gridSpan w:val="2"/>
          </w:tcPr>
          <w:p w:rsidR="000254E4" w:rsidRPr="00C42F15" w:rsidRDefault="000254E4" w:rsidP="00DB7515">
            <w:pPr>
              <w:rPr>
                <w:sz w:val="22"/>
                <w:szCs w:val="22"/>
              </w:rPr>
            </w:pPr>
          </w:p>
        </w:tc>
        <w:tc>
          <w:tcPr>
            <w:tcW w:w="1350" w:type="dxa"/>
          </w:tcPr>
          <w:p w:rsidR="000254E4" w:rsidRPr="00C42F15" w:rsidRDefault="000254E4" w:rsidP="00DB7515">
            <w:pPr>
              <w:rPr>
                <w:sz w:val="22"/>
                <w:szCs w:val="22"/>
              </w:rPr>
            </w:pPr>
          </w:p>
        </w:tc>
        <w:tc>
          <w:tcPr>
            <w:tcW w:w="1828" w:type="dxa"/>
            <w:gridSpan w:val="2"/>
          </w:tcPr>
          <w:p w:rsidR="000254E4" w:rsidRPr="00C42F15" w:rsidRDefault="000254E4" w:rsidP="00DB7515">
            <w:pPr>
              <w:rPr>
                <w:sz w:val="22"/>
                <w:szCs w:val="22"/>
              </w:rPr>
            </w:pPr>
          </w:p>
        </w:tc>
      </w:tr>
      <w:tr w:rsidR="000254E4" w:rsidRPr="00C42F15" w:rsidTr="000254E4">
        <w:trPr>
          <w:tblHeader/>
        </w:trPr>
        <w:tc>
          <w:tcPr>
            <w:tcW w:w="1098" w:type="dxa"/>
          </w:tcPr>
          <w:p w:rsidR="000254E4" w:rsidRPr="00C42F15" w:rsidRDefault="000254E4" w:rsidP="00DB7515">
            <w:pPr>
              <w:jc w:val="center"/>
              <w:rPr>
                <w:sz w:val="22"/>
                <w:szCs w:val="22"/>
              </w:rPr>
            </w:pPr>
          </w:p>
        </w:tc>
        <w:tc>
          <w:tcPr>
            <w:tcW w:w="7380" w:type="dxa"/>
          </w:tcPr>
          <w:p w:rsidR="000254E4" w:rsidRPr="00C42F15" w:rsidRDefault="000254E4" w:rsidP="00DB7515">
            <w:pPr>
              <w:rPr>
                <w:sz w:val="22"/>
                <w:szCs w:val="22"/>
              </w:rPr>
            </w:pPr>
            <w:r w:rsidRPr="00C42F15">
              <w:rPr>
                <w:sz w:val="22"/>
                <w:szCs w:val="22"/>
              </w:rPr>
              <w:t>1) Further review of spatio-temporal aspects of catches of juvenile bigeye and yellowfin tuna caught in association with fish aggregating devices (FADs)</w:t>
            </w:r>
          </w:p>
        </w:tc>
        <w:tc>
          <w:tcPr>
            <w:tcW w:w="2520" w:type="dxa"/>
            <w:gridSpan w:val="2"/>
          </w:tcPr>
          <w:p w:rsidR="000254E4" w:rsidRPr="00C42F15" w:rsidRDefault="000254E4" w:rsidP="00DB7515">
            <w:pPr>
              <w:rPr>
                <w:sz w:val="22"/>
                <w:szCs w:val="22"/>
              </w:rPr>
            </w:pPr>
            <w:r w:rsidRPr="00C42F15">
              <w:rPr>
                <w:sz w:val="22"/>
                <w:szCs w:val="22"/>
              </w:rPr>
              <w:t>SC, TCC, and WCPFC papers</w:t>
            </w:r>
          </w:p>
          <w:p w:rsidR="000254E4" w:rsidRPr="00C42F15" w:rsidRDefault="000254E4" w:rsidP="00DB7515">
            <w:pPr>
              <w:rPr>
                <w:sz w:val="22"/>
                <w:szCs w:val="22"/>
              </w:rPr>
            </w:pPr>
          </w:p>
        </w:tc>
        <w:tc>
          <w:tcPr>
            <w:tcW w:w="1350" w:type="dxa"/>
          </w:tcPr>
          <w:p w:rsidR="000254E4" w:rsidRPr="00C42F15" w:rsidRDefault="000254E4" w:rsidP="00DB7515">
            <w:pPr>
              <w:rPr>
                <w:sz w:val="22"/>
                <w:szCs w:val="22"/>
              </w:rPr>
            </w:pPr>
            <w:r w:rsidRPr="00C42F15">
              <w:rPr>
                <w:sz w:val="22"/>
                <w:szCs w:val="22"/>
              </w:rPr>
              <w:t>Mid-July, Mid-Sept, and Mid-Nov</w:t>
            </w:r>
          </w:p>
        </w:tc>
        <w:tc>
          <w:tcPr>
            <w:tcW w:w="1828" w:type="dxa"/>
            <w:gridSpan w:val="2"/>
          </w:tcPr>
          <w:p w:rsidR="000254E4" w:rsidRPr="00C42F15" w:rsidRDefault="000254E4" w:rsidP="00DB7515">
            <w:pPr>
              <w:rPr>
                <w:sz w:val="22"/>
                <w:szCs w:val="22"/>
              </w:rPr>
            </w:pPr>
          </w:p>
        </w:tc>
      </w:tr>
      <w:tr w:rsidR="000254E4" w:rsidRPr="00C42F15" w:rsidTr="000254E4">
        <w:trPr>
          <w:tblHeader/>
        </w:trPr>
        <w:tc>
          <w:tcPr>
            <w:tcW w:w="1098" w:type="dxa"/>
          </w:tcPr>
          <w:p w:rsidR="000254E4" w:rsidRPr="00C42F15" w:rsidRDefault="000254E4" w:rsidP="00DB7515">
            <w:pPr>
              <w:jc w:val="center"/>
              <w:rPr>
                <w:sz w:val="22"/>
                <w:szCs w:val="22"/>
              </w:rPr>
            </w:pPr>
          </w:p>
        </w:tc>
        <w:tc>
          <w:tcPr>
            <w:tcW w:w="7380" w:type="dxa"/>
          </w:tcPr>
          <w:p w:rsidR="000254E4" w:rsidRPr="00C42F15" w:rsidRDefault="000254E4" w:rsidP="00DB7515">
            <w:pPr>
              <w:rPr>
                <w:sz w:val="22"/>
                <w:szCs w:val="22"/>
              </w:rPr>
            </w:pPr>
            <w:r w:rsidRPr="00C42F15">
              <w:rPr>
                <w:sz w:val="22"/>
                <w:szCs w:val="22"/>
              </w:rPr>
              <w:t>2) Subject to available resources, evaluate the potential impacts of possible management measures for target and key non-target species. Possible measures will be suggested through the Commission and/or meetings of its subsidiary bodies OR from CCMs communicated through the Executive Director. The initial focus will be on measures for bigeye, yellowfin, and skipjack tunas.</w:t>
            </w:r>
          </w:p>
        </w:tc>
        <w:tc>
          <w:tcPr>
            <w:tcW w:w="2520" w:type="dxa"/>
            <w:gridSpan w:val="2"/>
          </w:tcPr>
          <w:p w:rsidR="000254E4" w:rsidRPr="00C42F15" w:rsidRDefault="000254E4" w:rsidP="00DB7515">
            <w:pPr>
              <w:rPr>
                <w:sz w:val="22"/>
                <w:szCs w:val="22"/>
              </w:rPr>
            </w:pPr>
            <w:r w:rsidRPr="00C42F15">
              <w:rPr>
                <w:sz w:val="22"/>
                <w:szCs w:val="22"/>
              </w:rPr>
              <w:t>SC, TCC, and WCPFC papers</w:t>
            </w:r>
          </w:p>
        </w:tc>
        <w:tc>
          <w:tcPr>
            <w:tcW w:w="1350" w:type="dxa"/>
          </w:tcPr>
          <w:p w:rsidR="000254E4" w:rsidRPr="00C42F15" w:rsidRDefault="000254E4" w:rsidP="00DB7515">
            <w:pPr>
              <w:rPr>
                <w:sz w:val="22"/>
                <w:szCs w:val="22"/>
              </w:rPr>
            </w:pPr>
            <w:r w:rsidRPr="00C42F15">
              <w:rPr>
                <w:sz w:val="22"/>
                <w:szCs w:val="22"/>
              </w:rPr>
              <w:t>Mid-July, Mid-Sept, and Mid-Nov</w:t>
            </w:r>
          </w:p>
        </w:tc>
        <w:tc>
          <w:tcPr>
            <w:tcW w:w="1828" w:type="dxa"/>
            <w:gridSpan w:val="2"/>
          </w:tcPr>
          <w:p w:rsidR="000254E4" w:rsidRPr="00C42F15" w:rsidRDefault="000254E4" w:rsidP="00DB7515">
            <w:pPr>
              <w:rPr>
                <w:sz w:val="22"/>
                <w:szCs w:val="22"/>
              </w:rPr>
            </w:pPr>
          </w:p>
        </w:tc>
      </w:tr>
      <w:tr w:rsidR="000254E4" w:rsidRPr="00C42F15" w:rsidTr="000254E4">
        <w:trPr>
          <w:tblHeader/>
        </w:trPr>
        <w:tc>
          <w:tcPr>
            <w:tcW w:w="1098" w:type="dxa"/>
            <w:tcBorders>
              <w:bottom w:val="single" w:sz="4" w:space="0" w:color="auto"/>
            </w:tcBorders>
          </w:tcPr>
          <w:p w:rsidR="000254E4" w:rsidRPr="00C42F15" w:rsidRDefault="000254E4" w:rsidP="00DB7515">
            <w:pPr>
              <w:jc w:val="center"/>
              <w:rPr>
                <w:sz w:val="22"/>
                <w:szCs w:val="22"/>
              </w:rPr>
            </w:pPr>
          </w:p>
        </w:tc>
        <w:tc>
          <w:tcPr>
            <w:tcW w:w="7380" w:type="dxa"/>
            <w:tcBorders>
              <w:bottom w:val="single" w:sz="4" w:space="0" w:color="auto"/>
            </w:tcBorders>
          </w:tcPr>
          <w:p w:rsidR="000254E4" w:rsidRPr="00C42F15" w:rsidRDefault="000254E4" w:rsidP="00DB7515">
            <w:pPr>
              <w:rPr>
                <w:sz w:val="22"/>
                <w:szCs w:val="22"/>
              </w:rPr>
            </w:pPr>
            <w:r w:rsidRPr="00C42F15">
              <w:rPr>
                <w:sz w:val="22"/>
                <w:szCs w:val="22"/>
              </w:rPr>
              <w:t>3) Further analysis of purse seine set times in the determination of set types.</w:t>
            </w:r>
          </w:p>
        </w:tc>
        <w:tc>
          <w:tcPr>
            <w:tcW w:w="2520" w:type="dxa"/>
            <w:gridSpan w:val="2"/>
            <w:tcBorders>
              <w:bottom w:val="single" w:sz="4" w:space="0" w:color="auto"/>
            </w:tcBorders>
          </w:tcPr>
          <w:p w:rsidR="000254E4" w:rsidRPr="00C42F15" w:rsidRDefault="000254E4" w:rsidP="00DB7515">
            <w:pPr>
              <w:rPr>
                <w:sz w:val="22"/>
                <w:szCs w:val="22"/>
              </w:rPr>
            </w:pPr>
            <w:r w:rsidRPr="00C42F15">
              <w:rPr>
                <w:sz w:val="22"/>
                <w:szCs w:val="22"/>
              </w:rPr>
              <w:t>SC and TCC paper</w:t>
            </w:r>
          </w:p>
        </w:tc>
        <w:tc>
          <w:tcPr>
            <w:tcW w:w="1350" w:type="dxa"/>
            <w:tcBorders>
              <w:bottom w:val="single" w:sz="4" w:space="0" w:color="auto"/>
            </w:tcBorders>
          </w:tcPr>
          <w:p w:rsidR="000254E4" w:rsidRPr="00C42F15" w:rsidRDefault="000254E4" w:rsidP="00DB7515">
            <w:pPr>
              <w:rPr>
                <w:sz w:val="22"/>
                <w:szCs w:val="22"/>
              </w:rPr>
            </w:pPr>
            <w:r w:rsidRPr="00C42F15">
              <w:rPr>
                <w:sz w:val="22"/>
                <w:szCs w:val="22"/>
              </w:rPr>
              <w:t>Mid-July and Mid-Sept</w:t>
            </w:r>
          </w:p>
        </w:tc>
        <w:tc>
          <w:tcPr>
            <w:tcW w:w="1828" w:type="dxa"/>
            <w:gridSpan w:val="2"/>
            <w:tcBorders>
              <w:bottom w:val="single" w:sz="4" w:space="0" w:color="auto"/>
            </w:tcBorders>
          </w:tcPr>
          <w:p w:rsidR="000254E4" w:rsidRPr="00C42F15" w:rsidRDefault="000254E4" w:rsidP="00DB7515">
            <w:pPr>
              <w:rPr>
                <w:sz w:val="22"/>
                <w:szCs w:val="22"/>
              </w:rPr>
            </w:pPr>
          </w:p>
        </w:tc>
      </w:tr>
      <w:tr w:rsidR="000254E4" w:rsidRPr="00C42F15" w:rsidTr="000254E4">
        <w:trPr>
          <w:tblHeader/>
        </w:trPr>
        <w:tc>
          <w:tcPr>
            <w:tcW w:w="1098" w:type="dxa"/>
            <w:tcBorders>
              <w:bottom w:val="single" w:sz="4" w:space="0" w:color="auto"/>
            </w:tcBorders>
            <w:shd w:val="clear" w:color="auto" w:fill="000000" w:themeFill="text1"/>
          </w:tcPr>
          <w:p w:rsidR="000254E4" w:rsidRPr="00C42F15" w:rsidRDefault="000254E4" w:rsidP="00DB7515">
            <w:pPr>
              <w:jc w:val="center"/>
              <w:rPr>
                <w:sz w:val="22"/>
                <w:szCs w:val="22"/>
              </w:rPr>
            </w:pPr>
          </w:p>
        </w:tc>
        <w:tc>
          <w:tcPr>
            <w:tcW w:w="7380" w:type="dxa"/>
            <w:tcBorders>
              <w:bottom w:val="single" w:sz="4" w:space="0" w:color="auto"/>
            </w:tcBorders>
            <w:shd w:val="clear" w:color="auto" w:fill="000000" w:themeFill="text1"/>
          </w:tcPr>
          <w:p w:rsidR="000254E4" w:rsidRPr="00C42F15" w:rsidRDefault="000254E4" w:rsidP="00DB7515">
            <w:pPr>
              <w:rPr>
                <w:sz w:val="22"/>
                <w:szCs w:val="22"/>
              </w:rPr>
            </w:pPr>
          </w:p>
        </w:tc>
        <w:tc>
          <w:tcPr>
            <w:tcW w:w="2520" w:type="dxa"/>
            <w:gridSpan w:val="2"/>
            <w:tcBorders>
              <w:bottom w:val="single" w:sz="4" w:space="0" w:color="auto"/>
            </w:tcBorders>
            <w:shd w:val="clear" w:color="auto" w:fill="000000" w:themeFill="text1"/>
          </w:tcPr>
          <w:p w:rsidR="000254E4" w:rsidRPr="00C42F15" w:rsidRDefault="000254E4" w:rsidP="00DB7515">
            <w:pPr>
              <w:rPr>
                <w:sz w:val="22"/>
                <w:szCs w:val="22"/>
              </w:rPr>
            </w:pPr>
          </w:p>
        </w:tc>
        <w:tc>
          <w:tcPr>
            <w:tcW w:w="1350" w:type="dxa"/>
            <w:tcBorders>
              <w:bottom w:val="single" w:sz="4" w:space="0" w:color="auto"/>
            </w:tcBorders>
            <w:shd w:val="clear" w:color="auto" w:fill="000000" w:themeFill="text1"/>
          </w:tcPr>
          <w:p w:rsidR="000254E4" w:rsidRPr="00C42F15" w:rsidRDefault="000254E4" w:rsidP="00DB7515">
            <w:pPr>
              <w:rPr>
                <w:sz w:val="22"/>
                <w:szCs w:val="22"/>
              </w:rPr>
            </w:pPr>
          </w:p>
        </w:tc>
        <w:tc>
          <w:tcPr>
            <w:tcW w:w="1828" w:type="dxa"/>
            <w:gridSpan w:val="2"/>
            <w:tcBorders>
              <w:bottom w:val="single" w:sz="4" w:space="0" w:color="auto"/>
            </w:tcBorders>
            <w:shd w:val="clear" w:color="auto" w:fill="000000" w:themeFill="text1"/>
          </w:tcPr>
          <w:p w:rsidR="000254E4" w:rsidRPr="00C42F15" w:rsidRDefault="000254E4" w:rsidP="00DB7515">
            <w:pPr>
              <w:rPr>
                <w:sz w:val="22"/>
                <w:szCs w:val="22"/>
              </w:rPr>
            </w:pPr>
          </w:p>
        </w:tc>
      </w:tr>
      <w:tr w:rsidR="000254E4" w:rsidRPr="00C42F15" w:rsidTr="000254E4">
        <w:trPr>
          <w:tblHeader/>
        </w:trPr>
        <w:tc>
          <w:tcPr>
            <w:tcW w:w="14176" w:type="dxa"/>
            <w:gridSpan w:val="7"/>
            <w:shd w:val="pct10" w:color="auto" w:fill="auto"/>
          </w:tcPr>
          <w:p w:rsidR="000254E4" w:rsidRPr="00C42F15" w:rsidRDefault="000254E4" w:rsidP="00DB7515">
            <w:pPr>
              <w:jc w:val="center"/>
              <w:rPr>
                <w:sz w:val="22"/>
                <w:szCs w:val="22"/>
              </w:rPr>
            </w:pPr>
            <w:r w:rsidRPr="00C42F15">
              <w:rPr>
                <w:b/>
                <w:i/>
                <w:sz w:val="22"/>
                <w:szCs w:val="22"/>
              </w:rPr>
              <w:t>Other advisory and technical services</w:t>
            </w:r>
          </w:p>
        </w:tc>
      </w:tr>
      <w:tr w:rsidR="000254E4" w:rsidRPr="00C42F15" w:rsidTr="000254E4">
        <w:trPr>
          <w:tblHeader/>
        </w:trPr>
        <w:tc>
          <w:tcPr>
            <w:tcW w:w="1098" w:type="dxa"/>
          </w:tcPr>
          <w:p w:rsidR="000254E4" w:rsidRPr="00C42F15" w:rsidRDefault="003F257A" w:rsidP="00DB7515">
            <w:pPr>
              <w:jc w:val="center"/>
              <w:rPr>
                <w:b/>
                <w:sz w:val="22"/>
                <w:szCs w:val="22"/>
              </w:rPr>
            </w:pPr>
            <w:r>
              <w:rPr>
                <w:b/>
                <w:sz w:val="22"/>
                <w:szCs w:val="22"/>
              </w:rPr>
              <w:t>x</w:t>
            </w:r>
            <w:r w:rsidR="000254E4" w:rsidRPr="00C42F15">
              <w:rPr>
                <w:b/>
                <w:sz w:val="22"/>
                <w:szCs w:val="22"/>
              </w:rPr>
              <w:t>.</w:t>
            </w:r>
          </w:p>
        </w:tc>
        <w:tc>
          <w:tcPr>
            <w:tcW w:w="7380" w:type="dxa"/>
          </w:tcPr>
          <w:p w:rsidR="000254E4" w:rsidRPr="00C42F15" w:rsidRDefault="000254E4" w:rsidP="00DB7515">
            <w:pPr>
              <w:rPr>
                <w:b/>
                <w:sz w:val="22"/>
                <w:szCs w:val="22"/>
              </w:rPr>
            </w:pPr>
            <w:r w:rsidRPr="00C42F15">
              <w:rPr>
                <w:b/>
                <w:i/>
                <w:sz w:val="22"/>
                <w:szCs w:val="22"/>
              </w:rPr>
              <w:t>Other advisory and technical services</w:t>
            </w:r>
          </w:p>
        </w:tc>
        <w:tc>
          <w:tcPr>
            <w:tcW w:w="2520" w:type="dxa"/>
            <w:gridSpan w:val="2"/>
          </w:tcPr>
          <w:p w:rsidR="000254E4" w:rsidRPr="00C42F15" w:rsidRDefault="000254E4" w:rsidP="00DB7515">
            <w:pPr>
              <w:rPr>
                <w:sz w:val="22"/>
                <w:szCs w:val="22"/>
              </w:rPr>
            </w:pPr>
          </w:p>
        </w:tc>
        <w:tc>
          <w:tcPr>
            <w:tcW w:w="1350" w:type="dxa"/>
          </w:tcPr>
          <w:p w:rsidR="000254E4" w:rsidRPr="00C42F15" w:rsidRDefault="000254E4" w:rsidP="00DB7515">
            <w:pPr>
              <w:rPr>
                <w:sz w:val="22"/>
                <w:szCs w:val="22"/>
              </w:rPr>
            </w:pPr>
          </w:p>
        </w:tc>
        <w:tc>
          <w:tcPr>
            <w:tcW w:w="1828" w:type="dxa"/>
            <w:gridSpan w:val="2"/>
          </w:tcPr>
          <w:p w:rsidR="000254E4" w:rsidRPr="00C42F15" w:rsidRDefault="000254E4" w:rsidP="00DB7515">
            <w:pPr>
              <w:rPr>
                <w:sz w:val="22"/>
                <w:szCs w:val="22"/>
              </w:rPr>
            </w:pPr>
          </w:p>
        </w:tc>
      </w:tr>
      <w:tr w:rsidR="000254E4" w:rsidRPr="00C42F15" w:rsidTr="000254E4">
        <w:trPr>
          <w:tblHeader/>
        </w:trPr>
        <w:tc>
          <w:tcPr>
            <w:tcW w:w="1098" w:type="dxa"/>
            <w:tcBorders>
              <w:bottom w:val="single" w:sz="4" w:space="0" w:color="auto"/>
            </w:tcBorders>
          </w:tcPr>
          <w:p w:rsidR="000254E4" w:rsidRPr="00C42F15" w:rsidRDefault="000254E4" w:rsidP="00DB7515">
            <w:pPr>
              <w:jc w:val="center"/>
              <w:rPr>
                <w:sz w:val="22"/>
                <w:szCs w:val="22"/>
              </w:rPr>
            </w:pPr>
          </w:p>
        </w:tc>
        <w:tc>
          <w:tcPr>
            <w:tcW w:w="7380" w:type="dxa"/>
            <w:tcBorders>
              <w:bottom w:val="single" w:sz="4" w:space="0" w:color="auto"/>
            </w:tcBorders>
          </w:tcPr>
          <w:p w:rsidR="000254E4" w:rsidRPr="00C42F15" w:rsidRDefault="000254E4" w:rsidP="00DB7515">
            <w:pPr>
              <w:rPr>
                <w:sz w:val="22"/>
                <w:szCs w:val="22"/>
              </w:rPr>
            </w:pPr>
            <w:r w:rsidRPr="00C42F15">
              <w:rPr>
                <w:sz w:val="22"/>
                <w:szCs w:val="22"/>
              </w:rPr>
              <w:t>1) Independent Review of the Commission’s Science Structure and Functions</w:t>
            </w:r>
          </w:p>
          <w:p w:rsidR="000254E4" w:rsidRPr="00C42F15" w:rsidRDefault="000254E4" w:rsidP="00DB7515">
            <w:pPr>
              <w:rPr>
                <w:sz w:val="22"/>
                <w:szCs w:val="22"/>
              </w:rPr>
            </w:pPr>
            <w:r w:rsidRPr="00C42F15">
              <w:rPr>
                <w:sz w:val="22"/>
                <w:szCs w:val="22"/>
              </w:rPr>
              <w:t xml:space="preserve"> As requested, participate in assisting further discussion on Independent Review, including advice on a peer review process of bigeye stock assessment, restructure of SC meetings, and any data related issues with ISC to address data gaps</w:t>
            </w:r>
          </w:p>
        </w:tc>
        <w:tc>
          <w:tcPr>
            <w:tcW w:w="2520" w:type="dxa"/>
            <w:gridSpan w:val="2"/>
            <w:tcBorders>
              <w:bottom w:val="single" w:sz="4" w:space="0" w:color="auto"/>
            </w:tcBorders>
          </w:tcPr>
          <w:p w:rsidR="000254E4" w:rsidRPr="00C42F15" w:rsidRDefault="000254E4" w:rsidP="00DB7515">
            <w:pPr>
              <w:rPr>
                <w:sz w:val="22"/>
                <w:szCs w:val="22"/>
              </w:rPr>
            </w:pPr>
          </w:p>
        </w:tc>
        <w:tc>
          <w:tcPr>
            <w:tcW w:w="1350" w:type="dxa"/>
            <w:tcBorders>
              <w:bottom w:val="single" w:sz="4" w:space="0" w:color="auto"/>
            </w:tcBorders>
          </w:tcPr>
          <w:p w:rsidR="000254E4" w:rsidRPr="00C42F15" w:rsidRDefault="000254E4" w:rsidP="00DB7515">
            <w:pPr>
              <w:rPr>
                <w:sz w:val="22"/>
                <w:szCs w:val="22"/>
              </w:rPr>
            </w:pPr>
          </w:p>
        </w:tc>
        <w:tc>
          <w:tcPr>
            <w:tcW w:w="1828" w:type="dxa"/>
            <w:gridSpan w:val="2"/>
            <w:tcBorders>
              <w:bottom w:val="single" w:sz="4" w:space="0" w:color="auto"/>
            </w:tcBorders>
          </w:tcPr>
          <w:p w:rsidR="000254E4" w:rsidRPr="00C42F15" w:rsidRDefault="000254E4" w:rsidP="00DB7515">
            <w:pPr>
              <w:rPr>
                <w:sz w:val="22"/>
                <w:szCs w:val="22"/>
              </w:rPr>
            </w:pPr>
          </w:p>
        </w:tc>
      </w:tr>
      <w:tr w:rsidR="000254E4" w:rsidRPr="00C42F15" w:rsidTr="000254E4">
        <w:trPr>
          <w:tblHeader/>
        </w:trPr>
        <w:tc>
          <w:tcPr>
            <w:tcW w:w="1098" w:type="dxa"/>
            <w:tcBorders>
              <w:bottom w:val="single" w:sz="4" w:space="0" w:color="auto"/>
            </w:tcBorders>
            <w:shd w:val="clear" w:color="auto" w:fill="000000" w:themeFill="text1"/>
          </w:tcPr>
          <w:p w:rsidR="000254E4" w:rsidRPr="00C42F15" w:rsidRDefault="000254E4" w:rsidP="00DB7515">
            <w:pPr>
              <w:jc w:val="center"/>
              <w:rPr>
                <w:sz w:val="22"/>
                <w:szCs w:val="22"/>
              </w:rPr>
            </w:pPr>
          </w:p>
        </w:tc>
        <w:tc>
          <w:tcPr>
            <w:tcW w:w="7380" w:type="dxa"/>
            <w:tcBorders>
              <w:bottom w:val="single" w:sz="4" w:space="0" w:color="auto"/>
            </w:tcBorders>
            <w:shd w:val="clear" w:color="auto" w:fill="000000" w:themeFill="text1"/>
          </w:tcPr>
          <w:p w:rsidR="000254E4" w:rsidRPr="00C42F15" w:rsidRDefault="000254E4" w:rsidP="00DB7515">
            <w:pPr>
              <w:rPr>
                <w:sz w:val="22"/>
                <w:szCs w:val="22"/>
              </w:rPr>
            </w:pPr>
          </w:p>
        </w:tc>
        <w:tc>
          <w:tcPr>
            <w:tcW w:w="2520" w:type="dxa"/>
            <w:gridSpan w:val="2"/>
            <w:tcBorders>
              <w:bottom w:val="single" w:sz="4" w:space="0" w:color="auto"/>
            </w:tcBorders>
            <w:shd w:val="clear" w:color="auto" w:fill="000000" w:themeFill="text1"/>
          </w:tcPr>
          <w:p w:rsidR="000254E4" w:rsidRPr="00C42F15" w:rsidRDefault="000254E4" w:rsidP="00DB7515">
            <w:pPr>
              <w:rPr>
                <w:sz w:val="22"/>
                <w:szCs w:val="22"/>
              </w:rPr>
            </w:pPr>
          </w:p>
        </w:tc>
        <w:tc>
          <w:tcPr>
            <w:tcW w:w="1350" w:type="dxa"/>
            <w:tcBorders>
              <w:bottom w:val="single" w:sz="4" w:space="0" w:color="auto"/>
            </w:tcBorders>
            <w:shd w:val="clear" w:color="auto" w:fill="000000" w:themeFill="text1"/>
          </w:tcPr>
          <w:p w:rsidR="000254E4" w:rsidRPr="00C42F15" w:rsidRDefault="000254E4" w:rsidP="00DB7515">
            <w:pPr>
              <w:rPr>
                <w:sz w:val="22"/>
                <w:szCs w:val="22"/>
              </w:rPr>
            </w:pPr>
          </w:p>
        </w:tc>
        <w:tc>
          <w:tcPr>
            <w:tcW w:w="1828" w:type="dxa"/>
            <w:gridSpan w:val="2"/>
            <w:tcBorders>
              <w:bottom w:val="single" w:sz="4" w:space="0" w:color="auto"/>
            </w:tcBorders>
            <w:shd w:val="clear" w:color="auto" w:fill="000000" w:themeFill="text1"/>
          </w:tcPr>
          <w:p w:rsidR="000254E4" w:rsidRPr="00C42F15" w:rsidRDefault="000254E4" w:rsidP="00DB7515">
            <w:pPr>
              <w:rPr>
                <w:sz w:val="22"/>
                <w:szCs w:val="22"/>
              </w:rPr>
            </w:pPr>
          </w:p>
        </w:tc>
      </w:tr>
      <w:tr w:rsidR="000254E4" w:rsidRPr="00C42F15" w:rsidTr="000254E4">
        <w:trPr>
          <w:tblHeader/>
        </w:trPr>
        <w:tc>
          <w:tcPr>
            <w:tcW w:w="14176" w:type="dxa"/>
            <w:gridSpan w:val="7"/>
            <w:shd w:val="pct10" w:color="auto" w:fill="auto"/>
          </w:tcPr>
          <w:p w:rsidR="000254E4" w:rsidRPr="00C42F15" w:rsidRDefault="000254E4" w:rsidP="00DB7515">
            <w:pPr>
              <w:jc w:val="center"/>
              <w:rPr>
                <w:sz w:val="22"/>
                <w:szCs w:val="22"/>
              </w:rPr>
            </w:pPr>
            <w:r w:rsidRPr="00C42F15">
              <w:rPr>
                <w:b/>
                <w:i/>
                <w:sz w:val="22"/>
                <w:szCs w:val="22"/>
              </w:rPr>
              <w:t>Ecological Risk Assessment (Budget USD130k)</w:t>
            </w:r>
          </w:p>
        </w:tc>
      </w:tr>
      <w:tr w:rsidR="000254E4" w:rsidRPr="00C42F15" w:rsidTr="000254E4">
        <w:trPr>
          <w:tblHeader/>
        </w:trPr>
        <w:tc>
          <w:tcPr>
            <w:tcW w:w="1098" w:type="dxa"/>
          </w:tcPr>
          <w:p w:rsidR="000254E4" w:rsidRPr="00C42F15" w:rsidRDefault="003F257A" w:rsidP="00DB7515">
            <w:pPr>
              <w:jc w:val="center"/>
              <w:rPr>
                <w:b/>
                <w:sz w:val="22"/>
                <w:szCs w:val="22"/>
              </w:rPr>
            </w:pPr>
            <w:r>
              <w:rPr>
                <w:b/>
                <w:sz w:val="22"/>
                <w:szCs w:val="22"/>
              </w:rPr>
              <w:t>xi</w:t>
            </w:r>
            <w:r w:rsidR="000254E4" w:rsidRPr="00C42F15">
              <w:rPr>
                <w:b/>
                <w:sz w:val="22"/>
                <w:szCs w:val="22"/>
              </w:rPr>
              <w:t>.</w:t>
            </w:r>
          </w:p>
          <w:p w:rsidR="000254E4" w:rsidRPr="00C42F15" w:rsidRDefault="000254E4" w:rsidP="00DB7515">
            <w:pPr>
              <w:jc w:val="center"/>
              <w:rPr>
                <w:b/>
                <w:sz w:val="22"/>
                <w:szCs w:val="22"/>
              </w:rPr>
            </w:pPr>
            <w:r w:rsidRPr="00C42F15">
              <w:rPr>
                <w:b/>
                <w:sz w:val="22"/>
                <w:szCs w:val="22"/>
              </w:rPr>
              <w:t>(40, 43, 52)</w:t>
            </w:r>
          </w:p>
        </w:tc>
        <w:tc>
          <w:tcPr>
            <w:tcW w:w="7380" w:type="dxa"/>
            <w:vAlign w:val="center"/>
          </w:tcPr>
          <w:p w:rsidR="000254E4" w:rsidRPr="00C42F15" w:rsidRDefault="000254E4" w:rsidP="00DB7515">
            <w:pPr>
              <w:rPr>
                <w:b/>
                <w:i/>
                <w:sz w:val="22"/>
                <w:szCs w:val="22"/>
              </w:rPr>
            </w:pPr>
            <w:r w:rsidRPr="00C42F15">
              <w:rPr>
                <w:b/>
                <w:i/>
                <w:sz w:val="22"/>
                <w:szCs w:val="22"/>
              </w:rPr>
              <w:t>Ecological risk assessment and associated activities</w:t>
            </w:r>
          </w:p>
        </w:tc>
        <w:tc>
          <w:tcPr>
            <w:tcW w:w="2430" w:type="dxa"/>
          </w:tcPr>
          <w:p w:rsidR="000254E4" w:rsidRPr="00C42F15" w:rsidRDefault="000254E4" w:rsidP="00DB7515">
            <w:pPr>
              <w:rPr>
                <w:sz w:val="22"/>
                <w:szCs w:val="22"/>
              </w:rPr>
            </w:pPr>
          </w:p>
        </w:tc>
        <w:tc>
          <w:tcPr>
            <w:tcW w:w="1530" w:type="dxa"/>
            <w:gridSpan w:val="3"/>
          </w:tcPr>
          <w:p w:rsidR="000254E4" w:rsidRPr="00C42F15" w:rsidRDefault="000254E4" w:rsidP="00DB7515">
            <w:pPr>
              <w:rPr>
                <w:sz w:val="22"/>
                <w:szCs w:val="22"/>
              </w:rPr>
            </w:pPr>
          </w:p>
        </w:tc>
        <w:tc>
          <w:tcPr>
            <w:tcW w:w="1738" w:type="dxa"/>
          </w:tcPr>
          <w:p w:rsidR="000254E4" w:rsidRPr="00C42F15" w:rsidRDefault="000254E4" w:rsidP="00DB7515">
            <w:pPr>
              <w:rPr>
                <w:sz w:val="22"/>
                <w:szCs w:val="22"/>
              </w:rPr>
            </w:pPr>
          </w:p>
        </w:tc>
      </w:tr>
      <w:tr w:rsidR="000254E4" w:rsidRPr="00C42F15" w:rsidTr="000254E4">
        <w:trPr>
          <w:tblHeader/>
        </w:trPr>
        <w:tc>
          <w:tcPr>
            <w:tcW w:w="1098" w:type="dxa"/>
          </w:tcPr>
          <w:p w:rsidR="000254E4" w:rsidRPr="00C42F15" w:rsidRDefault="000254E4" w:rsidP="00DB7515">
            <w:pPr>
              <w:jc w:val="center"/>
              <w:rPr>
                <w:sz w:val="22"/>
                <w:szCs w:val="22"/>
              </w:rPr>
            </w:pPr>
          </w:p>
        </w:tc>
        <w:tc>
          <w:tcPr>
            <w:tcW w:w="7380" w:type="dxa"/>
          </w:tcPr>
          <w:p w:rsidR="000254E4" w:rsidRPr="00C42F15" w:rsidRDefault="000254E4" w:rsidP="00DB7515">
            <w:pPr>
              <w:rPr>
                <w:sz w:val="22"/>
                <w:szCs w:val="22"/>
              </w:rPr>
            </w:pPr>
            <w:r w:rsidRPr="00C42F15">
              <w:rPr>
                <w:sz w:val="22"/>
                <w:szCs w:val="22"/>
              </w:rPr>
              <w:t>1) Seabirds:</w:t>
            </w:r>
          </w:p>
          <w:p w:rsidR="000254E4" w:rsidRPr="00C42F15" w:rsidRDefault="000254E4" w:rsidP="00DB7515">
            <w:pPr>
              <w:rPr>
                <w:sz w:val="22"/>
                <w:szCs w:val="22"/>
              </w:rPr>
            </w:pPr>
            <w:r w:rsidRPr="00C42F15">
              <w:rPr>
                <w:sz w:val="22"/>
                <w:szCs w:val="22"/>
              </w:rPr>
              <w:t>(a) Subject to available data, continue spatial risk assessments to determine initial spatial zones for the differential management and monitoring of seabird bycatch.</w:t>
            </w:r>
          </w:p>
        </w:tc>
        <w:tc>
          <w:tcPr>
            <w:tcW w:w="2430" w:type="dxa"/>
          </w:tcPr>
          <w:p w:rsidR="000254E4" w:rsidRPr="00C42F15" w:rsidRDefault="000254E4" w:rsidP="00DB7515">
            <w:pPr>
              <w:rPr>
                <w:sz w:val="22"/>
                <w:szCs w:val="22"/>
              </w:rPr>
            </w:pPr>
            <w:r w:rsidRPr="00C42F15">
              <w:rPr>
                <w:sz w:val="22"/>
                <w:szCs w:val="22"/>
              </w:rPr>
              <w:t>SC paper</w:t>
            </w:r>
          </w:p>
        </w:tc>
        <w:tc>
          <w:tcPr>
            <w:tcW w:w="1530" w:type="dxa"/>
            <w:gridSpan w:val="3"/>
          </w:tcPr>
          <w:p w:rsidR="000254E4" w:rsidRPr="00C42F15" w:rsidRDefault="000254E4" w:rsidP="00DB7515">
            <w:pPr>
              <w:rPr>
                <w:sz w:val="22"/>
                <w:szCs w:val="22"/>
              </w:rPr>
            </w:pPr>
            <w:r w:rsidRPr="00C42F15">
              <w:rPr>
                <w:sz w:val="22"/>
                <w:szCs w:val="22"/>
              </w:rPr>
              <w:t>Mid-July</w:t>
            </w:r>
          </w:p>
        </w:tc>
        <w:tc>
          <w:tcPr>
            <w:tcW w:w="1738" w:type="dxa"/>
          </w:tcPr>
          <w:p w:rsidR="000254E4" w:rsidRPr="00C42F15" w:rsidRDefault="000254E4" w:rsidP="00DB7515">
            <w:pPr>
              <w:rPr>
                <w:sz w:val="22"/>
                <w:szCs w:val="22"/>
              </w:rPr>
            </w:pPr>
          </w:p>
        </w:tc>
      </w:tr>
      <w:tr w:rsidR="000254E4" w:rsidRPr="00C42F15" w:rsidTr="000254E4">
        <w:trPr>
          <w:tblHeader/>
        </w:trPr>
        <w:tc>
          <w:tcPr>
            <w:tcW w:w="1098" w:type="dxa"/>
          </w:tcPr>
          <w:p w:rsidR="000254E4" w:rsidRPr="00C42F15" w:rsidRDefault="000254E4" w:rsidP="00DB7515">
            <w:pPr>
              <w:jc w:val="center"/>
              <w:rPr>
                <w:sz w:val="22"/>
                <w:szCs w:val="22"/>
              </w:rPr>
            </w:pPr>
          </w:p>
        </w:tc>
        <w:tc>
          <w:tcPr>
            <w:tcW w:w="7380" w:type="dxa"/>
          </w:tcPr>
          <w:p w:rsidR="000254E4" w:rsidRPr="00C42F15" w:rsidRDefault="000254E4" w:rsidP="00DB7515">
            <w:pPr>
              <w:rPr>
                <w:sz w:val="22"/>
                <w:szCs w:val="22"/>
              </w:rPr>
            </w:pPr>
            <w:r w:rsidRPr="00C42F15">
              <w:rPr>
                <w:sz w:val="22"/>
                <w:szCs w:val="22"/>
              </w:rPr>
              <w:t>2) Sharks:</w:t>
            </w:r>
          </w:p>
          <w:p w:rsidR="000254E4" w:rsidRPr="00C42F15" w:rsidRDefault="000254E4" w:rsidP="00DB7515">
            <w:pPr>
              <w:rPr>
                <w:sz w:val="22"/>
                <w:szCs w:val="22"/>
              </w:rPr>
            </w:pPr>
            <w:r w:rsidRPr="00C42F15">
              <w:rPr>
                <w:sz w:val="22"/>
                <w:szCs w:val="22"/>
              </w:rPr>
              <w:t>(a) Provide preliminary advice on the stock status of key shark species and a 3-year shark research plan for 2011-2013</w:t>
            </w:r>
          </w:p>
          <w:p w:rsidR="000254E4" w:rsidRPr="00C42F15" w:rsidRDefault="000254E4" w:rsidP="00DB7515">
            <w:pPr>
              <w:rPr>
                <w:sz w:val="22"/>
                <w:szCs w:val="22"/>
              </w:rPr>
            </w:pPr>
            <w:r w:rsidRPr="00C42F15">
              <w:rPr>
                <w:sz w:val="22"/>
                <w:szCs w:val="22"/>
              </w:rPr>
              <w:t>(b) Subject to the availability of adequate data, assess the effectiveness of CMM-2009-04, including any alternative measures for the management of shark stocks in the Convention Area, as appropriate</w:t>
            </w:r>
          </w:p>
        </w:tc>
        <w:tc>
          <w:tcPr>
            <w:tcW w:w="2430" w:type="dxa"/>
          </w:tcPr>
          <w:p w:rsidR="000254E4" w:rsidRPr="00C42F15" w:rsidRDefault="000254E4" w:rsidP="00DB7515">
            <w:pPr>
              <w:rPr>
                <w:sz w:val="22"/>
                <w:szCs w:val="22"/>
              </w:rPr>
            </w:pPr>
            <w:r w:rsidRPr="00C42F15">
              <w:rPr>
                <w:sz w:val="22"/>
                <w:szCs w:val="22"/>
              </w:rPr>
              <w:t>SC progress report and WCPFC paper</w:t>
            </w:r>
          </w:p>
        </w:tc>
        <w:tc>
          <w:tcPr>
            <w:tcW w:w="1530" w:type="dxa"/>
            <w:gridSpan w:val="3"/>
          </w:tcPr>
          <w:p w:rsidR="000254E4" w:rsidRPr="00C42F15" w:rsidRDefault="000254E4" w:rsidP="00DB7515">
            <w:pPr>
              <w:rPr>
                <w:sz w:val="22"/>
                <w:szCs w:val="22"/>
              </w:rPr>
            </w:pPr>
            <w:r w:rsidRPr="00C42F15">
              <w:rPr>
                <w:sz w:val="22"/>
                <w:szCs w:val="22"/>
              </w:rPr>
              <w:t>Mid-July</w:t>
            </w:r>
          </w:p>
          <w:p w:rsidR="000254E4" w:rsidRPr="00C42F15" w:rsidRDefault="000254E4" w:rsidP="00DB7515">
            <w:pPr>
              <w:rPr>
                <w:sz w:val="22"/>
                <w:szCs w:val="22"/>
              </w:rPr>
            </w:pPr>
            <w:r w:rsidRPr="00C42F15">
              <w:rPr>
                <w:sz w:val="22"/>
                <w:szCs w:val="22"/>
              </w:rPr>
              <w:t>Mid-Nov</w:t>
            </w:r>
          </w:p>
        </w:tc>
        <w:tc>
          <w:tcPr>
            <w:tcW w:w="1738" w:type="dxa"/>
          </w:tcPr>
          <w:p w:rsidR="000254E4" w:rsidRPr="00C42F15" w:rsidRDefault="000254E4" w:rsidP="00DB7515">
            <w:pPr>
              <w:rPr>
                <w:sz w:val="22"/>
                <w:szCs w:val="22"/>
              </w:rPr>
            </w:pPr>
          </w:p>
        </w:tc>
      </w:tr>
      <w:tr w:rsidR="000254E4" w:rsidRPr="00C42F15" w:rsidTr="000254E4">
        <w:trPr>
          <w:tblHeader/>
        </w:trPr>
        <w:tc>
          <w:tcPr>
            <w:tcW w:w="1098" w:type="dxa"/>
            <w:shd w:val="clear" w:color="auto" w:fill="000000" w:themeFill="text1"/>
          </w:tcPr>
          <w:p w:rsidR="000254E4" w:rsidRPr="00C42F15" w:rsidRDefault="000254E4" w:rsidP="00DB7515">
            <w:pPr>
              <w:jc w:val="center"/>
              <w:rPr>
                <w:sz w:val="22"/>
                <w:szCs w:val="22"/>
              </w:rPr>
            </w:pPr>
          </w:p>
        </w:tc>
        <w:tc>
          <w:tcPr>
            <w:tcW w:w="7380" w:type="dxa"/>
            <w:shd w:val="clear" w:color="auto" w:fill="000000" w:themeFill="text1"/>
          </w:tcPr>
          <w:p w:rsidR="000254E4" w:rsidRPr="00C42F15" w:rsidRDefault="000254E4" w:rsidP="00DB7515">
            <w:pPr>
              <w:rPr>
                <w:sz w:val="22"/>
                <w:szCs w:val="22"/>
              </w:rPr>
            </w:pPr>
          </w:p>
        </w:tc>
        <w:tc>
          <w:tcPr>
            <w:tcW w:w="2430" w:type="dxa"/>
            <w:shd w:val="clear" w:color="auto" w:fill="000000" w:themeFill="text1"/>
          </w:tcPr>
          <w:p w:rsidR="000254E4" w:rsidRPr="00C42F15" w:rsidRDefault="000254E4" w:rsidP="00DB7515">
            <w:pPr>
              <w:rPr>
                <w:sz w:val="22"/>
                <w:szCs w:val="22"/>
              </w:rPr>
            </w:pPr>
          </w:p>
        </w:tc>
        <w:tc>
          <w:tcPr>
            <w:tcW w:w="1530" w:type="dxa"/>
            <w:gridSpan w:val="3"/>
            <w:shd w:val="clear" w:color="auto" w:fill="000000" w:themeFill="text1"/>
          </w:tcPr>
          <w:p w:rsidR="000254E4" w:rsidRPr="00C42F15" w:rsidRDefault="000254E4" w:rsidP="00DB7515">
            <w:pPr>
              <w:rPr>
                <w:sz w:val="22"/>
                <w:szCs w:val="22"/>
              </w:rPr>
            </w:pPr>
          </w:p>
        </w:tc>
        <w:tc>
          <w:tcPr>
            <w:tcW w:w="1738" w:type="dxa"/>
            <w:shd w:val="clear" w:color="auto" w:fill="000000" w:themeFill="text1"/>
          </w:tcPr>
          <w:p w:rsidR="000254E4" w:rsidRPr="00C42F15" w:rsidRDefault="000254E4" w:rsidP="00DB7515">
            <w:pPr>
              <w:rPr>
                <w:sz w:val="22"/>
                <w:szCs w:val="22"/>
              </w:rPr>
            </w:pPr>
          </w:p>
        </w:tc>
      </w:tr>
    </w:tbl>
    <w:p w:rsidR="000254E4" w:rsidRPr="00C42F15" w:rsidRDefault="000254E4" w:rsidP="000254E4">
      <w:pPr>
        <w:pStyle w:val="Heading2"/>
        <w:numPr>
          <w:ilvl w:val="0"/>
          <w:numId w:val="0"/>
        </w:numPr>
        <w:spacing w:before="0" w:after="0"/>
        <w:ind w:left="567" w:hanging="567"/>
        <w:rPr>
          <w:sz w:val="22"/>
          <w:szCs w:val="22"/>
          <w:lang w:val="en-US"/>
        </w:rPr>
      </w:pPr>
    </w:p>
    <w:p w:rsidR="000254E4" w:rsidRPr="00C42F15" w:rsidRDefault="000254E4" w:rsidP="000254E4">
      <w:pPr>
        <w:rPr>
          <w:sz w:val="22"/>
          <w:szCs w:val="22"/>
        </w:rPr>
      </w:pPr>
      <w:r w:rsidRPr="00C42F15">
        <w:rPr>
          <w:sz w:val="22"/>
          <w:szCs w:val="22"/>
        </w:rPr>
        <w:br w:type="page"/>
      </w:r>
    </w:p>
    <w:p w:rsidR="000254E4" w:rsidRPr="00C42F15" w:rsidRDefault="000254E4" w:rsidP="000254E4">
      <w:pPr>
        <w:pStyle w:val="Heading2"/>
        <w:keepNext/>
        <w:numPr>
          <w:ilvl w:val="0"/>
          <w:numId w:val="1"/>
        </w:numPr>
        <w:tabs>
          <w:tab w:val="clear" w:pos="0"/>
          <w:tab w:val="num" w:pos="567"/>
        </w:tabs>
        <w:suppressAutoHyphens w:val="0"/>
        <w:spacing w:before="0" w:after="0"/>
        <w:ind w:left="567" w:hanging="567"/>
        <w:rPr>
          <w:sz w:val="22"/>
          <w:szCs w:val="22"/>
          <w:lang w:val="en-US"/>
        </w:rPr>
      </w:pPr>
      <w:r w:rsidRPr="00C42F15">
        <w:rPr>
          <w:sz w:val="22"/>
          <w:szCs w:val="22"/>
          <w:lang w:val="en-US"/>
        </w:rPr>
        <w:lastRenderedPageBreak/>
        <w:t xml:space="preserve">3. </w:t>
      </w:r>
      <w:r w:rsidRPr="00C42F15">
        <w:rPr>
          <w:sz w:val="22"/>
          <w:szCs w:val="22"/>
          <w:lang w:val="en-US"/>
        </w:rPr>
        <w:tab/>
        <w:t>Financial Support to be provided by the Commission</w:t>
      </w:r>
    </w:p>
    <w:p w:rsidR="000254E4" w:rsidRPr="00C42F15" w:rsidRDefault="000254E4" w:rsidP="000254E4">
      <w:pPr>
        <w:rPr>
          <w:sz w:val="22"/>
          <w:szCs w:val="22"/>
        </w:rPr>
      </w:pPr>
    </w:p>
    <w:p w:rsidR="000254E4" w:rsidRPr="00C42F15" w:rsidRDefault="000254E4" w:rsidP="000254E4">
      <w:pPr>
        <w:rPr>
          <w:sz w:val="22"/>
          <w:szCs w:val="22"/>
        </w:rPr>
      </w:pPr>
      <w:r w:rsidRPr="00C42F15">
        <w:rPr>
          <w:sz w:val="22"/>
          <w:szCs w:val="22"/>
        </w:rPr>
        <w:t>The financial support to be provided by the Commission to the SPC OFP for the services outlined in section 2 above is as follows:</w:t>
      </w:r>
    </w:p>
    <w:p w:rsidR="000254E4" w:rsidRPr="00C42F15" w:rsidRDefault="000254E4" w:rsidP="000254E4">
      <w:pPr>
        <w:pStyle w:val="Heading2"/>
        <w:numPr>
          <w:ilvl w:val="0"/>
          <w:numId w:val="0"/>
        </w:numPr>
        <w:spacing w:before="0" w:after="0"/>
        <w:rPr>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6"/>
        <w:gridCol w:w="5900"/>
        <w:gridCol w:w="1700"/>
      </w:tblGrid>
      <w:tr w:rsidR="000254E4" w:rsidRPr="00C42F15" w:rsidTr="00DB7515">
        <w:tc>
          <w:tcPr>
            <w:tcW w:w="2116" w:type="pct"/>
            <w:shd w:val="clear" w:color="auto" w:fill="CCCCCC"/>
          </w:tcPr>
          <w:p w:rsidR="000254E4" w:rsidRPr="00C42F15" w:rsidRDefault="000254E4" w:rsidP="00DB7515">
            <w:pPr>
              <w:jc w:val="center"/>
              <w:rPr>
                <w:b/>
              </w:rPr>
            </w:pPr>
            <w:r w:rsidRPr="00C42F15">
              <w:rPr>
                <w:b/>
                <w:sz w:val="22"/>
                <w:szCs w:val="22"/>
              </w:rPr>
              <w:t>Item</w:t>
            </w:r>
          </w:p>
        </w:tc>
        <w:tc>
          <w:tcPr>
            <w:tcW w:w="2239" w:type="pct"/>
            <w:shd w:val="clear" w:color="auto" w:fill="CCCCCC"/>
          </w:tcPr>
          <w:p w:rsidR="000254E4" w:rsidRPr="00C42F15" w:rsidRDefault="000254E4" w:rsidP="00DB7515">
            <w:pPr>
              <w:jc w:val="center"/>
              <w:rPr>
                <w:b/>
              </w:rPr>
            </w:pPr>
            <w:r w:rsidRPr="00C42F15">
              <w:rPr>
                <w:b/>
                <w:sz w:val="22"/>
                <w:szCs w:val="22"/>
              </w:rPr>
              <w:t>Cost basis</w:t>
            </w:r>
          </w:p>
        </w:tc>
        <w:tc>
          <w:tcPr>
            <w:tcW w:w="645" w:type="pct"/>
            <w:shd w:val="clear" w:color="auto" w:fill="CCCCCC"/>
          </w:tcPr>
          <w:p w:rsidR="000254E4" w:rsidRPr="00C42F15" w:rsidRDefault="000254E4" w:rsidP="00DB7515">
            <w:pPr>
              <w:jc w:val="center"/>
              <w:rPr>
                <w:b/>
              </w:rPr>
            </w:pPr>
            <w:r w:rsidRPr="00C42F15">
              <w:rPr>
                <w:b/>
                <w:sz w:val="22"/>
                <w:szCs w:val="22"/>
              </w:rPr>
              <w:t>USD</w:t>
            </w:r>
          </w:p>
        </w:tc>
      </w:tr>
      <w:tr w:rsidR="000254E4" w:rsidRPr="00C42F15" w:rsidTr="00DB7515">
        <w:tc>
          <w:tcPr>
            <w:tcW w:w="2116" w:type="pct"/>
            <w:vAlign w:val="center"/>
          </w:tcPr>
          <w:p w:rsidR="000254E4" w:rsidRPr="00C42F15" w:rsidRDefault="000254E4" w:rsidP="00DB7515">
            <w:r w:rsidRPr="00C42F15">
              <w:rPr>
                <w:sz w:val="22"/>
                <w:szCs w:val="22"/>
              </w:rPr>
              <w:t xml:space="preserve">Data management, stock assessment, ecological risk assessment and other advisory and technical services </w:t>
            </w:r>
          </w:p>
        </w:tc>
        <w:tc>
          <w:tcPr>
            <w:tcW w:w="2239" w:type="pct"/>
          </w:tcPr>
          <w:p w:rsidR="000254E4" w:rsidRPr="00C42F15" w:rsidRDefault="000254E4" w:rsidP="00DB7515">
            <w:r w:rsidRPr="00C42F15">
              <w:rPr>
                <w:sz w:val="22"/>
                <w:szCs w:val="22"/>
              </w:rPr>
              <w:t>Costs based on SPC costs of four scientific positions</w:t>
            </w:r>
            <w:r w:rsidRPr="00C42F15">
              <w:rPr>
                <w:rStyle w:val="FootnoteReference"/>
                <w:sz w:val="22"/>
                <w:szCs w:val="22"/>
              </w:rPr>
              <w:footnoteReference w:id="4"/>
            </w:r>
            <w:r w:rsidRPr="00C42F15">
              <w:rPr>
                <w:sz w:val="22"/>
                <w:szCs w:val="22"/>
              </w:rPr>
              <w:t>, administration costs, travel, and computer support.</w:t>
            </w:r>
          </w:p>
        </w:tc>
        <w:tc>
          <w:tcPr>
            <w:tcW w:w="645" w:type="pct"/>
            <w:vAlign w:val="center"/>
          </w:tcPr>
          <w:p w:rsidR="000254E4" w:rsidRPr="00C42F15" w:rsidRDefault="000254E4" w:rsidP="00DB7515">
            <w:pPr>
              <w:jc w:val="right"/>
            </w:pPr>
            <w:r w:rsidRPr="00C42F15">
              <w:rPr>
                <w:sz w:val="22"/>
                <w:szCs w:val="22"/>
              </w:rPr>
              <w:t>700,000</w:t>
            </w:r>
          </w:p>
        </w:tc>
      </w:tr>
      <w:tr w:rsidR="000254E4" w:rsidRPr="00C42F15" w:rsidDel="002A0590" w:rsidTr="00DB7515">
        <w:tc>
          <w:tcPr>
            <w:tcW w:w="4355" w:type="pct"/>
            <w:gridSpan w:val="2"/>
            <w:shd w:val="clear" w:color="auto" w:fill="E6E6E6"/>
          </w:tcPr>
          <w:p w:rsidR="000254E4" w:rsidRPr="00C42F15" w:rsidRDefault="000254E4" w:rsidP="00DB7515">
            <w:pPr>
              <w:jc w:val="center"/>
              <w:rPr>
                <w:b/>
              </w:rPr>
            </w:pPr>
            <w:r w:rsidRPr="00C42F15">
              <w:rPr>
                <w:b/>
                <w:sz w:val="22"/>
                <w:szCs w:val="22"/>
              </w:rPr>
              <w:t>Total Commission funding</w:t>
            </w:r>
          </w:p>
        </w:tc>
        <w:tc>
          <w:tcPr>
            <w:tcW w:w="645" w:type="pct"/>
            <w:shd w:val="clear" w:color="auto" w:fill="E6E6E6"/>
          </w:tcPr>
          <w:p w:rsidR="000254E4" w:rsidRPr="00C42F15" w:rsidDel="002A0590" w:rsidRDefault="000254E4" w:rsidP="00DB7515">
            <w:pPr>
              <w:jc w:val="right"/>
              <w:rPr>
                <w:b/>
              </w:rPr>
            </w:pPr>
            <w:r w:rsidRPr="00C42F15">
              <w:rPr>
                <w:b/>
                <w:sz w:val="22"/>
                <w:szCs w:val="22"/>
              </w:rPr>
              <w:t>700,000</w:t>
            </w:r>
          </w:p>
        </w:tc>
      </w:tr>
    </w:tbl>
    <w:p w:rsidR="000254E4" w:rsidRPr="00C42F15" w:rsidRDefault="000254E4" w:rsidP="000254E4">
      <w:pPr>
        <w:rPr>
          <w:sz w:val="22"/>
          <w:szCs w:val="22"/>
        </w:rPr>
      </w:pPr>
    </w:p>
    <w:p w:rsidR="000254E4" w:rsidRPr="00C42F15" w:rsidRDefault="000254E4" w:rsidP="000254E4">
      <w:pPr>
        <w:pStyle w:val="Heading2"/>
        <w:keepNext/>
        <w:numPr>
          <w:ilvl w:val="0"/>
          <w:numId w:val="1"/>
        </w:numPr>
        <w:tabs>
          <w:tab w:val="clear" w:pos="0"/>
          <w:tab w:val="num" w:pos="567"/>
        </w:tabs>
        <w:suppressAutoHyphens w:val="0"/>
        <w:spacing w:before="0" w:after="0"/>
        <w:ind w:left="567" w:hanging="567"/>
        <w:rPr>
          <w:sz w:val="22"/>
          <w:szCs w:val="22"/>
          <w:lang w:val="en-US"/>
        </w:rPr>
      </w:pPr>
      <w:r w:rsidRPr="00C42F15">
        <w:rPr>
          <w:sz w:val="22"/>
          <w:szCs w:val="22"/>
          <w:lang w:val="en-US"/>
        </w:rPr>
        <w:t xml:space="preserve">4. </w:t>
      </w:r>
      <w:r w:rsidRPr="00C42F15">
        <w:rPr>
          <w:sz w:val="22"/>
          <w:szCs w:val="22"/>
          <w:lang w:val="en-US"/>
        </w:rPr>
        <w:tab/>
        <w:t>Schedule for Payments and Bank Details for Payment</w:t>
      </w:r>
    </w:p>
    <w:p w:rsidR="000254E4" w:rsidRPr="00C42F15" w:rsidRDefault="000254E4" w:rsidP="000254E4">
      <w:pPr>
        <w:rPr>
          <w:sz w:val="22"/>
          <w:szCs w:val="22"/>
        </w:rPr>
      </w:pPr>
    </w:p>
    <w:p w:rsidR="000254E4" w:rsidRPr="00C42F15" w:rsidRDefault="000254E4" w:rsidP="000254E4">
      <w:pPr>
        <w:rPr>
          <w:sz w:val="22"/>
          <w:szCs w:val="22"/>
        </w:rPr>
      </w:pPr>
      <w:r w:rsidRPr="00C42F15">
        <w:rPr>
          <w:sz w:val="22"/>
          <w:szCs w:val="22"/>
        </w:rPr>
        <w:t>The schedule of payments shall be as follows:</w:t>
      </w:r>
    </w:p>
    <w:p w:rsidR="000254E4" w:rsidRPr="00C42F15" w:rsidRDefault="000254E4" w:rsidP="000254E4">
      <w:pPr>
        <w:rPr>
          <w:sz w:val="22"/>
          <w:szCs w:val="22"/>
        </w:rPr>
      </w:pPr>
    </w:p>
    <w:tbl>
      <w:tblPr>
        <w:tblStyle w:val="TableGrid"/>
        <w:tblW w:w="0" w:type="auto"/>
        <w:tblInd w:w="108" w:type="dxa"/>
        <w:tblLook w:val="04A0"/>
      </w:tblPr>
      <w:tblGrid>
        <w:gridCol w:w="3060"/>
        <w:gridCol w:w="1620"/>
        <w:gridCol w:w="630"/>
        <w:gridCol w:w="1890"/>
        <w:gridCol w:w="5220"/>
      </w:tblGrid>
      <w:tr w:rsidR="000254E4" w:rsidRPr="00C42F15" w:rsidTr="00DB7515">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254E4" w:rsidRPr="00C42F15" w:rsidRDefault="000254E4" w:rsidP="00DB7515">
            <w:pPr>
              <w:rPr>
                <w:sz w:val="22"/>
                <w:szCs w:val="22"/>
              </w:rPr>
            </w:pPr>
            <w:r w:rsidRPr="00C42F15">
              <w:rPr>
                <w:sz w:val="22"/>
                <w:szCs w:val="22"/>
              </w:rPr>
              <w:t>8 March 2010 (or before)</w:t>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254E4" w:rsidRPr="00C42F15" w:rsidRDefault="000254E4" w:rsidP="00DB7515">
            <w:pPr>
              <w:rPr>
                <w:sz w:val="22"/>
                <w:szCs w:val="22"/>
              </w:rPr>
            </w:pPr>
            <w:r w:rsidRPr="00C42F15">
              <w:rPr>
                <w:sz w:val="22"/>
                <w:szCs w:val="22"/>
              </w:rPr>
              <w:t>USD 200,000</w:t>
            </w:r>
          </w:p>
        </w:tc>
        <w:tc>
          <w:tcPr>
            <w:tcW w:w="630" w:type="dxa"/>
            <w:tcBorders>
              <w:top w:val="nil"/>
              <w:left w:val="single" w:sz="4" w:space="0" w:color="808080" w:themeColor="background1" w:themeShade="80"/>
              <w:bottom w:val="nil"/>
              <w:right w:val="single" w:sz="4" w:space="0" w:color="808080" w:themeColor="background1" w:themeShade="80"/>
            </w:tcBorders>
          </w:tcPr>
          <w:p w:rsidR="000254E4" w:rsidRPr="00C42F15" w:rsidRDefault="000254E4" w:rsidP="00DB7515">
            <w:pPr>
              <w:rPr>
                <w:sz w:val="22"/>
                <w:szCs w:val="22"/>
              </w:rPr>
            </w:pP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254E4" w:rsidRPr="00C42F15" w:rsidRDefault="000254E4" w:rsidP="00DB7515">
            <w:pPr>
              <w:rPr>
                <w:b/>
                <w:sz w:val="22"/>
                <w:szCs w:val="22"/>
              </w:rPr>
            </w:pPr>
            <w:r w:rsidRPr="00C42F15">
              <w:rPr>
                <w:b/>
                <w:sz w:val="22"/>
                <w:szCs w:val="22"/>
              </w:rPr>
              <w:t>Name of Bank</w:t>
            </w:r>
          </w:p>
        </w:tc>
        <w:tc>
          <w:tcPr>
            <w:tcW w:w="52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254E4" w:rsidRPr="00C42F15" w:rsidRDefault="000254E4" w:rsidP="00DB7515">
            <w:pPr>
              <w:rPr>
                <w:sz w:val="22"/>
                <w:szCs w:val="22"/>
              </w:rPr>
            </w:pPr>
            <w:r w:rsidRPr="00C42F15">
              <w:rPr>
                <w:sz w:val="22"/>
                <w:szCs w:val="22"/>
              </w:rPr>
              <w:t>Banque de Nouvelle-Caledonie</w:t>
            </w:r>
          </w:p>
        </w:tc>
      </w:tr>
      <w:tr w:rsidR="000254E4" w:rsidRPr="00C42F15" w:rsidTr="00DB7515">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254E4" w:rsidRPr="00C42F15" w:rsidRDefault="000254E4" w:rsidP="00DB7515">
            <w:pPr>
              <w:rPr>
                <w:sz w:val="22"/>
                <w:szCs w:val="22"/>
              </w:rPr>
            </w:pPr>
            <w:r w:rsidRPr="00C42F15">
              <w:rPr>
                <w:sz w:val="22"/>
                <w:szCs w:val="22"/>
              </w:rPr>
              <w:t>31 March 2010 (or before)</w:t>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254E4" w:rsidRPr="00C42F15" w:rsidRDefault="000254E4" w:rsidP="00DB7515">
            <w:pPr>
              <w:rPr>
                <w:sz w:val="22"/>
                <w:szCs w:val="22"/>
              </w:rPr>
            </w:pPr>
            <w:r w:rsidRPr="00C42F15">
              <w:rPr>
                <w:sz w:val="22"/>
                <w:szCs w:val="22"/>
              </w:rPr>
              <w:t xml:space="preserve">USD </w:t>
            </w:r>
            <w:bookmarkStart w:id="19" w:name="OLE_LINK3"/>
            <w:bookmarkStart w:id="20" w:name="OLE_LINK4"/>
            <w:r w:rsidRPr="00C42F15">
              <w:rPr>
                <w:sz w:val="22"/>
                <w:szCs w:val="22"/>
              </w:rPr>
              <w:t>200,000</w:t>
            </w:r>
            <w:bookmarkEnd w:id="19"/>
            <w:bookmarkEnd w:id="20"/>
          </w:p>
        </w:tc>
        <w:tc>
          <w:tcPr>
            <w:tcW w:w="630" w:type="dxa"/>
            <w:tcBorders>
              <w:top w:val="nil"/>
              <w:left w:val="single" w:sz="4" w:space="0" w:color="808080" w:themeColor="background1" w:themeShade="80"/>
              <w:bottom w:val="nil"/>
              <w:right w:val="single" w:sz="4" w:space="0" w:color="808080" w:themeColor="background1" w:themeShade="80"/>
            </w:tcBorders>
          </w:tcPr>
          <w:p w:rsidR="000254E4" w:rsidRPr="00C42F15" w:rsidRDefault="000254E4" w:rsidP="00DB7515">
            <w:pPr>
              <w:rPr>
                <w:sz w:val="22"/>
                <w:szCs w:val="22"/>
              </w:rPr>
            </w:pP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254E4" w:rsidRPr="00C42F15" w:rsidRDefault="000254E4" w:rsidP="00DB7515">
            <w:pPr>
              <w:rPr>
                <w:b/>
                <w:sz w:val="22"/>
                <w:szCs w:val="22"/>
              </w:rPr>
            </w:pPr>
            <w:r w:rsidRPr="00C42F15">
              <w:rPr>
                <w:b/>
                <w:sz w:val="22"/>
                <w:szCs w:val="22"/>
              </w:rPr>
              <w:t>Address</w:t>
            </w:r>
          </w:p>
        </w:tc>
        <w:tc>
          <w:tcPr>
            <w:tcW w:w="52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254E4" w:rsidRPr="00C42F15" w:rsidRDefault="000254E4" w:rsidP="00DB7515">
            <w:pPr>
              <w:rPr>
                <w:sz w:val="22"/>
                <w:szCs w:val="22"/>
              </w:rPr>
            </w:pPr>
            <w:r w:rsidRPr="00C42F15">
              <w:rPr>
                <w:sz w:val="22"/>
                <w:szCs w:val="22"/>
              </w:rPr>
              <w:t>25 av He</w:t>
            </w:r>
            <w:r w:rsidRPr="00C42F15">
              <w:rPr>
                <w:sz w:val="22"/>
                <w:szCs w:val="22"/>
                <w:lang w:val="fr-FR"/>
              </w:rPr>
              <w:t>nri Lafleur Victoire, Noumea, New Caledonia</w:t>
            </w:r>
          </w:p>
        </w:tc>
      </w:tr>
      <w:tr w:rsidR="000254E4" w:rsidRPr="00C42F15" w:rsidTr="00DB7515">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254E4" w:rsidRPr="00C42F15" w:rsidRDefault="000254E4" w:rsidP="00DB7515">
            <w:pPr>
              <w:rPr>
                <w:sz w:val="22"/>
                <w:szCs w:val="22"/>
              </w:rPr>
            </w:pPr>
            <w:r w:rsidRPr="00C42F15">
              <w:rPr>
                <w:sz w:val="22"/>
                <w:szCs w:val="22"/>
              </w:rPr>
              <w:t>30 June 2010 (or before)</w:t>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254E4" w:rsidRPr="00C42F15" w:rsidRDefault="000254E4" w:rsidP="00DB7515">
            <w:pPr>
              <w:rPr>
                <w:sz w:val="22"/>
                <w:szCs w:val="22"/>
              </w:rPr>
            </w:pPr>
            <w:r w:rsidRPr="00C42F15">
              <w:rPr>
                <w:sz w:val="22"/>
                <w:szCs w:val="22"/>
              </w:rPr>
              <w:t>USD 150,000</w:t>
            </w:r>
          </w:p>
        </w:tc>
        <w:tc>
          <w:tcPr>
            <w:tcW w:w="630" w:type="dxa"/>
            <w:tcBorders>
              <w:top w:val="nil"/>
              <w:left w:val="single" w:sz="4" w:space="0" w:color="808080" w:themeColor="background1" w:themeShade="80"/>
              <w:bottom w:val="nil"/>
              <w:right w:val="single" w:sz="4" w:space="0" w:color="808080" w:themeColor="background1" w:themeShade="80"/>
            </w:tcBorders>
          </w:tcPr>
          <w:p w:rsidR="000254E4" w:rsidRPr="00C42F15" w:rsidRDefault="000254E4" w:rsidP="00DB7515">
            <w:pPr>
              <w:rPr>
                <w:sz w:val="22"/>
                <w:szCs w:val="22"/>
              </w:rPr>
            </w:pP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254E4" w:rsidRPr="00C42F15" w:rsidRDefault="000254E4" w:rsidP="00DB7515">
            <w:pPr>
              <w:rPr>
                <w:b/>
                <w:sz w:val="22"/>
                <w:szCs w:val="22"/>
              </w:rPr>
            </w:pPr>
            <w:r w:rsidRPr="00C42F15">
              <w:rPr>
                <w:b/>
                <w:sz w:val="22"/>
                <w:szCs w:val="22"/>
              </w:rPr>
              <w:t>Account</w:t>
            </w:r>
            <w:r w:rsidRPr="00C42F15">
              <w:rPr>
                <w:b/>
                <w:sz w:val="22"/>
                <w:szCs w:val="22"/>
                <w:lang w:val="fr-FR"/>
              </w:rPr>
              <w:t xml:space="preserve"> </w:t>
            </w:r>
            <w:r w:rsidRPr="00C42F15">
              <w:rPr>
                <w:b/>
                <w:sz w:val="22"/>
                <w:szCs w:val="22"/>
              </w:rPr>
              <w:t>name</w:t>
            </w:r>
          </w:p>
        </w:tc>
        <w:tc>
          <w:tcPr>
            <w:tcW w:w="52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254E4" w:rsidRPr="00C42F15" w:rsidRDefault="000254E4" w:rsidP="00DB7515">
            <w:pPr>
              <w:rPr>
                <w:sz w:val="22"/>
                <w:szCs w:val="22"/>
              </w:rPr>
            </w:pPr>
            <w:r w:rsidRPr="00C42F15">
              <w:rPr>
                <w:sz w:val="22"/>
                <w:szCs w:val="22"/>
                <w:lang w:val="fr-FR"/>
              </w:rPr>
              <w:t>Secretariat General de la Communaute du Pacifique</w:t>
            </w:r>
          </w:p>
        </w:tc>
      </w:tr>
      <w:tr w:rsidR="000254E4" w:rsidRPr="00C42F15" w:rsidTr="00DB7515">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254E4" w:rsidRPr="00C42F15" w:rsidRDefault="000254E4" w:rsidP="00DB7515">
            <w:pPr>
              <w:rPr>
                <w:sz w:val="22"/>
                <w:szCs w:val="22"/>
              </w:rPr>
            </w:pPr>
            <w:r w:rsidRPr="00C42F15">
              <w:rPr>
                <w:sz w:val="22"/>
                <w:szCs w:val="22"/>
              </w:rPr>
              <w:t>30 September 2010 (or before)</w:t>
            </w:r>
          </w:p>
        </w:tc>
        <w:tc>
          <w:tcPr>
            <w:tcW w:w="16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254E4" w:rsidRPr="00C42F15" w:rsidRDefault="000254E4" w:rsidP="00DB7515">
            <w:pPr>
              <w:rPr>
                <w:sz w:val="22"/>
                <w:szCs w:val="22"/>
              </w:rPr>
            </w:pPr>
            <w:r w:rsidRPr="00C42F15">
              <w:rPr>
                <w:sz w:val="22"/>
                <w:szCs w:val="22"/>
              </w:rPr>
              <w:t>USD 150,000</w:t>
            </w:r>
          </w:p>
        </w:tc>
        <w:tc>
          <w:tcPr>
            <w:tcW w:w="630" w:type="dxa"/>
            <w:tcBorders>
              <w:top w:val="nil"/>
              <w:left w:val="single" w:sz="4" w:space="0" w:color="808080" w:themeColor="background1" w:themeShade="80"/>
              <w:bottom w:val="nil"/>
              <w:right w:val="single" w:sz="4" w:space="0" w:color="808080" w:themeColor="background1" w:themeShade="80"/>
            </w:tcBorders>
          </w:tcPr>
          <w:p w:rsidR="000254E4" w:rsidRPr="00C42F15" w:rsidRDefault="000254E4" w:rsidP="00DB7515">
            <w:pPr>
              <w:rPr>
                <w:sz w:val="22"/>
                <w:szCs w:val="22"/>
              </w:rPr>
            </w:pP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254E4" w:rsidRPr="00C42F15" w:rsidRDefault="000254E4" w:rsidP="00DB7515">
            <w:pPr>
              <w:rPr>
                <w:b/>
                <w:sz w:val="22"/>
                <w:szCs w:val="22"/>
              </w:rPr>
            </w:pPr>
            <w:r w:rsidRPr="00C42F15">
              <w:rPr>
                <w:b/>
                <w:sz w:val="22"/>
                <w:szCs w:val="22"/>
              </w:rPr>
              <w:t>Account</w:t>
            </w:r>
            <w:r w:rsidRPr="00C42F15">
              <w:rPr>
                <w:b/>
                <w:sz w:val="22"/>
                <w:szCs w:val="22"/>
                <w:lang w:val="fr-FR"/>
              </w:rPr>
              <w:t xml:space="preserve"> </w:t>
            </w:r>
            <w:r w:rsidRPr="00C42F15">
              <w:rPr>
                <w:b/>
                <w:sz w:val="22"/>
                <w:szCs w:val="22"/>
              </w:rPr>
              <w:t>Number</w:t>
            </w:r>
          </w:p>
        </w:tc>
        <w:tc>
          <w:tcPr>
            <w:tcW w:w="52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254E4" w:rsidRPr="00C42F15" w:rsidRDefault="000254E4" w:rsidP="00DB7515">
            <w:pPr>
              <w:rPr>
                <w:sz w:val="22"/>
                <w:szCs w:val="22"/>
              </w:rPr>
            </w:pPr>
            <w:r w:rsidRPr="00C42F15">
              <w:rPr>
                <w:sz w:val="22"/>
                <w:szCs w:val="22"/>
                <w:lang w:val="fr-FR"/>
              </w:rPr>
              <w:t>14889 00081  01461716025  31</w:t>
            </w:r>
          </w:p>
        </w:tc>
      </w:tr>
    </w:tbl>
    <w:tbl>
      <w:tblPr>
        <w:tblW w:w="5000" w:type="pct"/>
        <w:tblLook w:val="01E0"/>
      </w:tblPr>
      <w:tblGrid>
        <w:gridCol w:w="3294"/>
        <w:gridCol w:w="3294"/>
        <w:gridCol w:w="3294"/>
        <w:gridCol w:w="3294"/>
      </w:tblGrid>
      <w:tr w:rsidR="000254E4" w:rsidRPr="00C42F15" w:rsidTr="00DB7515">
        <w:tc>
          <w:tcPr>
            <w:tcW w:w="1250" w:type="pct"/>
            <w:tcBorders>
              <w:bottom w:val="single" w:sz="4" w:space="0" w:color="808080"/>
            </w:tcBorders>
            <w:shd w:val="clear" w:color="auto" w:fill="auto"/>
          </w:tcPr>
          <w:p w:rsidR="000254E4" w:rsidRPr="00C42F15" w:rsidRDefault="000254E4" w:rsidP="00DB7515">
            <w:pPr>
              <w:tabs>
                <w:tab w:val="left" w:pos="5040"/>
              </w:tabs>
              <w:rPr>
                <w:lang w:val="fr-FR"/>
              </w:rPr>
            </w:pPr>
          </w:p>
          <w:p w:rsidR="000254E4" w:rsidRPr="00C42F15" w:rsidRDefault="000254E4" w:rsidP="00DB7515">
            <w:pPr>
              <w:tabs>
                <w:tab w:val="left" w:pos="5040"/>
              </w:tabs>
              <w:rPr>
                <w:lang w:val="fr-FR"/>
              </w:rPr>
            </w:pPr>
          </w:p>
          <w:p w:rsidR="000254E4" w:rsidRPr="00C42F15" w:rsidRDefault="000254E4" w:rsidP="00DB7515">
            <w:pPr>
              <w:tabs>
                <w:tab w:val="left" w:pos="5040"/>
              </w:tabs>
              <w:rPr>
                <w:lang w:val="fr-FR"/>
              </w:rPr>
            </w:pPr>
          </w:p>
          <w:p w:rsidR="000254E4" w:rsidRPr="00C42F15" w:rsidRDefault="000254E4" w:rsidP="00DB7515">
            <w:pPr>
              <w:tabs>
                <w:tab w:val="left" w:pos="5040"/>
              </w:tabs>
              <w:rPr>
                <w:lang w:val="fr-FR"/>
              </w:rPr>
            </w:pPr>
          </w:p>
          <w:p w:rsidR="000254E4" w:rsidRPr="00C42F15" w:rsidRDefault="000254E4" w:rsidP="00DB7515">
            <w:pPr>
              <w:tabs>
                <w:tab w:val="left" w:pos="5040"/>
              </w:tabs>
              <w:rPr>
                <w:lang w:val="fr-FR"/>
              </w:rPr>
            </w:pPr>
          </w:p>
          <w:p w:rsidR="000254E4" w:rsidRPr="00C42F15" w:rsidRDefault="000254E4" w:rsidP="00DB7515">
            <w:pPr>
              <w:tabs>
                <w:tab w:val="left" w:pos="5040"/>
              </w:tabs>
              <w:rPr>
                <w:lang w:val="fr-FR"/>
              </w:rPr>
            </w:pPr>
          </w:p>
          <w:p w:rsidR="000254E4" w:rsidRPr="00C42F15" w:rsidRDefault="000254E4" w:rsidP="00DB7515">
            <w:pPr>
              <w:tabs>
                <w:tab w:val="left" w:pos="5040"/>
              </w:tabs>
              <w:rPr>
                <w:lang w:val="fr-FR"/>
              </w:rPr>
            </w:pPr>
          </w:p>
          <w:p w:rsidR="000254E4" w:rsidRPr="00C42F15" w:rsidRDefault="000254E4" w:rsidP="00DB7515">
            <w:pPr>
              <w:tabs>
                <w:tab w:val="left" w:pos="5040"/>
              </w:tabs>
              <w:rPr>
                <w:lang w:val="fr-FR"/>
              </w:rPr>
            </w:pPr>
          </w:p>
        </w:tc>
        <w:tc>
          <w:tcPr>
            <w:tcW w:w="1250" w:type="pct"/>
            <w:shd w:val="clear" w:color="auto" w:fill="auto"/>
          </w:tcPr>
          <w:p w:rsidR="000254E4" w:rsidRPr="00C42F15" w:rsidRDefault="000254E4" w:rsidP="00DB7515">
            <w:pPr>
              <w:tabs>
                <w:tab w:val="left" w:pos="5040"/>
              </w:tabs>
              <w:rPr>
                <w:lang w:val="fr-FR"/>
              </w:rPr>
            </w:pPr>
          </w:p>
          <w:p w:rsidR="000254E4" w:rsidRPr="00C42F15" w:rsidRDefault="000254E4" w:rsidP="00DB7515">
            <w:pPr>
              <w:rPr>
                <w:lang w:val="fr-FR"/>
              </w:rPr>
            </w:pPr>
          </w:p>
        </w:tc>
        <w:tc>
          <w:tcPr>
            <w:tcW w:w="1250" w:type="pct"/>
            <w:tcBorders>
              <w:bottom w:val="single" w:sz="4" w:space="0" w:color="808080"/>
            </w:tcBorders>
            <w:shd w:val="clear" w:color="auto" w:fill="auto"/>
          </w:tcPr>
          <w:p w:rsidR="000254E4" w:rsidRPr="00C42F15" w:rsidRDefault="000254E4" w:rsidP="00DB7515">
            <w:pPr>
              <w:tabs>
                <w:tab w:val="left" w:pos="5040"/>
              </w:tabs>
              <w:rPr>
                <w:lang w:val="fr-FR" w:eastAsia="ko-KR"/>
              </w:rPr>
            </w:pPr>
          </w:p>
        </w:tc>
        <w:tc>
          <w:tcPr>
            <w:tcW w:w="1250" w:type="pct"/>
            <w:shd w:val="clear" w:color="auto" w:fill="auto"/>
          </w:tcPr>
          <w:p w:rsidR="000254E4" w:rsidRPr="00C42F15" w:rsidRDefault="000254E4" w:rsidP="00DB7515">
            <w:pPr>
              <w:rPr>
                <w:lang w:val="fr-FR"/>
              </w:rPr>
            </w:pPr>
          </w:p>
        </w:tc>
      </w:tr>
      <w:tr w:rsidR="000254E4" w:rsidRPr="00C42F15" w:rsidTr="00DB7515">
        <w:tc>
          <w:tcPr>
            <w:tcW w:w="1250" w:type="pct"/>
            <w:tcBorders>
              <w:top w:val="single" w:sz="4" w:space="0" w:color="808080"/>
            </w:tcBorders>
            <w:shd w:val="clear" w:color="auto" w:fill="auto"/>
          </w:tcPr>
          <w:p w:rsidR="000254E4" w:rsidRPr="00C42F15" w:rsidRDefault="000254E4" w:rsidP="00DB7515">
            <w:pPr>
              <w:tabs>
                <w:tab w:val="left" w:pos="5040"/>
              </w:tabs>
              <w:rPr>
                <w:lang w:val="fr-FR"/>
              </w:rPr>
            </w:pPr>
            <w:r w:rsidRPr="00C42F15">
              <w:rPr>
                <w:sz w:val="22"/>
                <w:szCs w:val="22"/>
                <w:lang w:val="fr-FR"/>
              </w:rPr>
              <w:t>Mr. Andrew Wright</w:t>
            </w:r>
          </w:p>
          <w:p w:rsidR="000254E4" w:rsidRPr="00C42F15" w:rsidRDefault="000254E4" w:rsidP="00DB7515">
            <w:pPr>
              <w:tabs>
                <w:tab w:val="left" w:pos="5040"/>
              </w:tabs>
              <w:rPr>
                <w:lang w:val="fr-FR"/>
              </w:rPr>
            </w:pPr>
            <w:r w:rsidRPr="00C42F15">
              <w:rPr>
                <w:sz w:val="22"/>
                <w:szCs w:val="22"/>
              </w:rPr>
              <w:t>Executive</w:t>
            </w:r>
            <w:r w:rsidRPr="00C42F15">
              <w:rPr>
                <w:sz w:val="22"/>
                <w:szCs w:val="22"/>
                <w:lang w:val="fr-FR"/>
              </w:rPr>
              <w:t xml:space="preserve"> </w:t>
            </w:r>
            <w:r w:rsidRPr="00C42F15">
              <w:rPr>
                <w:sz w:val="22"/>
                <w:szCs w:val="22"/>
              </w:rPr>
              <w:t>Director</w:t>
            </w:r>
            <w:r w:rsidRPr="00C42F15">
              <w:rPr>
                <w:sz w:val="22"/>
                <w:szCs w:val="22"/>
                <w:lang w:val="fr-FR"/>
              </w:rPr>
              <w:t>, WCPFC</w:t>
            </w:r>
          </w:p>
          <w:p w:rsidR="000254E4" w:rsidRPr="00C42F15" w:rsidRDefault="000254E4" w:rsidP="00DB7515">
            <w:pPr>
              <w:tabs>
                <w:tab w:val="left" w:pos="5040"/>
              </w:tabs>
              <w:rPr>
                <w:lang w:val="fr-FR"/>
              </w:rPr>
            </w:pPr>
          </w:p>
          <w:p w:rsidR="000254E4" w:rsidRPr="00C42F15" w:rsidRDefault="00033EDA" w:rsidP="00DB7515">
            <w:pPr>
              <w:rPr>
                <w:lang w:val="fr-FR" w:eastAsia="ko-KR"/>
              </w:rPr>
            </w:pPr>
            <w:r>
              <w:rPr>
                <w:sz w:val="22"/>
                <w:szCs w:val="22"/>
                <w:lang w:val="fr-FR"/>
              </w:rPr>
              <w:t>15</w:t>
            </w:r>
            <w:r w:rsidR="000254E4" w:rsidRPr="00C42F15">
              <w:rPr>
                <w:sz w:val="22"/>
                <w:szCs w:val="22"/>
                <w:lang w:val="fr-FR"/>
              </w:rPr>
              <w:t xml:space="preserve"> March 2010</w:t>
            </w:r>
          </w:p>
          <w:p w:rsidR="000254E4" w:rsidRPr="00C42F15" w:rsidRDefault="000254E4" w:rsidP="00DB7515">
            <w:pPr>
              <w:tabs>
                <w:tab w:val="left" w:pos="5040"/>
              </w:tabs>
              <w:rPr>
                <w:lang w:val="fr-FR"/>
              </w:rPr>
            </w:pPr>
          </w:p>
        </w:tc>
        <w:tc>
          <w:tcPr>
            <w:tcW w:w="1250" w:type="pct"/>
            <w:shd w:val="clear" w:color="auto" w:fill="auto"/>
          </w:tcPr>
          <w:p w:rsidR="000254E4" w:rsidRPr="00C42F15" w:rsidRDefault="000254E4" w:rsidP="00DB7515">
            <w:pPr>
              <w:tabs>
                <w:tab w:val="left" w:pos="5040"/>
              </w:tabs>
              <w:rPr>
                <w:lang w:val="fr-FR"/>
              </w:rPr>
            </w:pPr>
          </w:p>
        </w:tc>
        <w:tc>
          <w:tcPr>
            <w:tcW w:w="1250" w:type="pct"/>
            <w:tcBorders>
              <w:top w:val="single" w:sz="4" w:space="0" w:color="808080"/>
            </w:tcBorders>
            <w:shd w:val="clear" w:color="auto" w:fill="auto"/>
          </w:tcPr>
          <w:p w:rsidR="000254E4" w:rsidRPr="00C42F15" w:rsidRDefault="000254E4" w:rsidP="00DB7515">
            <w:pPr>
              <w:tabs>
                <w:tab w:val="left" w:pos="5040"/>
              </w:tabs>
            </w:pPr>
            <w:r w:rsidRPr="00C42F15">
              <w:rPr>
                <w:sz w:val="22"/>
                <w:szCs w:val="22"/>
                <w:lang w:val="fr-FR"/>
              </w:rPr>
              <w:t xml:space="preserve">Dr. </w:t>
            </w:r>
            <w:r w:rsidRPr="00C42F15">
              <w:rPr>
                <w:sz w:val="22"/>
                <w:szCs w:val="22"/>
              </w:rPr>
              <w:t>Jimmie</w:t>
            </w:r>
            <w:r w:rsidRPr="00C42F15">
              <w:rPr>
                <w:sz w:val="22"/>
                <w:szCs w:val="22"/>
                <w:lang w:val="fr-FR"/>
              </w:rPr>
              <w:t xml:space="preserve"> Rodgers</w:t>
            </w:r>
            <w:r w:rsidRPr="00C42F15">
              <w:rPr>
                <w:sz w:val="22"/>
                <w:szCs w:val="22"/>
              </w:rPr>
              <w:t xml:space="preserve"> </w:t>
            </w:r>
          </w:p>
          <w:p w:rsidR="000254E4" w:rsidRPr="00C42F15" w:rsidRDefault="000254E4" w:rsidP="00DB7515">
            <w:pPr>
              <w:tabs>
                <w:tab w:val="left" w:pos="5040"/>
              </w:tabs>
              <w:rPr>
                <w:lang w:val="fr-FR" w:eastAsia="ko-KR"/>
              </w:rPr>
            </w:pPr>
            <w:r w:rsidRPr="00C42F15">
              <w:rPr>
                <w:sz w:val="22"/>
                <w:szCs w:val="22"/>
              </w:rPr>
              <w:t>Director</w:t>
            </w:r>
            <w:r w:rsidRPr="00C42F15">
              <w:rPr>
                <w:sz w:val="22"/>
                <w:szCs w:val="22"/>
                <w:lang w:val="fr-FR"/>
              </w:rPr>
              <w:t xml:space="preserve"> </w:t>
            </w:r>
            <w:r w:rsidRPr="00C42F15">
              <w:rPr>
                <w:sz w:val="22"/>
                <w:szCs w:val="22"/>
              </w:rPr>
              <w:t>General</w:t>
            </w:r>
            <w:r w:rsidRPr="00C42F15">
              <w:rPr>
                <w:sz w:val="22"/>
                <w:szCs w:val="22"/>
                <w:lang w:val="fr-FR"/>
              </w:rPr>
              <w:t>, SPC</w:t>
            </w:r>
          </w:p>
          <w:p w:rsidR="000254E4" w:rsidRPr="00C42F15" w:rsidRDefault="000254E4" w:rsidP="00DB7515">
            <w:pPr>
              <w:tabs>
                <w:tab w:val="left" w:pos="5040"/>
              </w:tabs>
              <w:rPr>
                <w:lang w:val="fr-FR" w:eastAsia="ko-KR"/>
              </w:rPr>
            </w:pPr>
          </w:p>
          <w:p w:rsidR="000254E4" w:rsidRPr="00C42F15" w:rsidRDefault="00033EDA" w:rsidP="00033EDA">
            <w:pPr>
              <w:rPr>
                <w:lang w:val="fr-FR" w:eastAsia="ko-KR"/>
              </w:rPr>
            </w:pPr>
            <w:r>
              <w:rPr>
                <w:sz w:val="22"/>
                <w:szCs w:val="22"/>
                <w:lang w:val="fr-FR"/>
              </w:rPr>
              <w:t>15</w:t>
            </w:r>
            <w:r w:rsidR="000254E4" w:rsidRPr="00C42F15">
              <w:rPr>
                <w:sz w:val="22"/>
                <w:szCs w:val="22"/>
                <w:lang w:val="fr-FR"/>
              </w:rPr>
              <w:t xml:space="preserve"> March 2010</w:t>
            </w:r>
          </w:p>
        </w:tc>
        <w:tc>
          <w:tcPr>
            <w:tcW w:w="1250" w:type="pct"/>
            <w:shd w:val="clear" w:color="auto" w:fill="auto"/>
          </w:tcPr>
          <w:p w:rsidR="000254E4" w:rsidRPr="00C42F15" w:rsidRDefault="000254E4" w:rsidP="00DB7515">
            <w:pPr>
              <w:rPr>
                <w:lang w:val="fr-FR" w:eastAsia="ko-KR"/>
              </w:rPr>
            </w:pPr>
          </w:p>
        </w:tc>
      </w:tr>
    </w:tbl>
    <w:p w:rsidR="00042AE4" w:rsidRPr="00C42F15" w:rsidRDefault="00042AE4" w:rsidP="00033EDA">
      <w:pPr>
        <w:numPr>
          <w:ilvl w:val="1"/>
          <w:numId w:val="0"/>
        </w:numPr>
        <w:snapToGrid w:val="0"/>
        <w:rPr>
          <w:sz w:val="22"/>
          <w:szCs w:val="22"/>
        </w:rPr>
      </w:pPr>
    </w:p>
    <w:sectPr w:rsidR="00042AE4" w:rsidRPr="00C42F15" w:rsidSect="003314D1">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981" w:rsidRDefault="002E6981" w:rsidP="000254E4">
      <w:r>
        <w:separator/>
      </w:r>
    </w:p>
  </w:endnote>
  <w:endnote w:type="continuationSeparator" w:id="0">
    <w:p w:rsidR="002E6981" w:rsidRDefault="002E6981" w:rsidP="000254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769467"/>
      <w:docPartObj>
        <w:docPartGallery w:val="Page Numbers (Bottom of Page)"/>
        <w:docPartUnique/>
      </w:docPartObj>
    </w:sdtPr>
    <w:sdtContent>
      <w:p w:rsidR="00033EDA" w:rsidRDefault="0025046B">
        <w:pPr>
          <w:pStyle w:val="Footer"/>
          <w:jc w:val="center"/>
        </w:pPr>
        <w:fldSimple w:instr=" PAGE   \* MERGEFORMAT ">
          <w:r w:rsidR="000A2C66">
            <w:rPr>
              <w:noProof/>
            </w:rPr>
            <w:t>12</w:t>
          </w:r>
        </w:fldSimple>
      </w:p>
    </w:sdtContent>
  </w:sdt>
  <w:p w:rsidR="00033EDA" w:rsidRDefault="00033E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981" w:rsidRDefault="002E6981" w:rsidP="000254E4">
      <w:r>
        <w:separator/>
      </w:r>
    </w:p>
  </w:footnote>
  <w:footnote w:type="continuationSeparator" w:id="0">
    <w:p w:rsidR="002E6981" w:rsidRDefault="002E6981" w:rsidP="000254E4">
      <w:r>
        <w:continuationSeparator/>
      </w:r>
    </w:p>
  </w:footnote>
  <w:footnote w:id="1">
    <w:p w:rsidR="000254E4" w:rsidRDefault="000254E4" w:rsidP="000254E4">
      <w:pPr>
        <w:pStyle w:val="FootnoteText"/>
      </w:pPr>
      <w:r>
        <w:rPr>
          <w:rStyle w:val="FootnoteReference"/>
        </w:rPr>
        <w:footnoteRef/>
      </w:r>
      <w:r>
        <w:t xml:space="preserve"> Values in parentheses refer to the project numbers from the Work Programme for the Scientific Committee</w:t>
      </w:r>
    </w:p>
  </w:footnote>
  <w:footnote w:id="2">
    <w:p w:rsidR="000254E4" w:rsidRDefault="000254E4" w:rsidP="000254E4">
      <w:pPr>
        <w:pStyle w:val="FootnoteText"/>
      </w:pPr>
      <w:r>
        <w:rPr>
          <w:rStyle w:val="FootnoteReference"/>
        </w:rPr>
        <w:footnoteRef/>
      </w:r>
      <w:r>
        <w:t xml:space="preserve"> To be completed by SPC and WCPFC in November each year and provided as a paper to the Regular Session of the WCPF Commission and its appropriate subsidiary bodies (e.g. FAC)</w:t>
      </w:r>
    </w:p>
  </w:footnote>
  <w:footnote w:id="3">
    <w:p w:rsidR="000254E4" w:rsidRDefault="000254E4" w:rsidP="000254E4">
      <w:pPr>
        <w:pStyle w:val="FootnoteText"/>
      </w:pPr>
      <w:r>
        <w:rPr>
          <w:rStyle w:val="FootnoteReference"/>
        </w:rPr>
        <w:footnoteRef/>
      </w:r>
      <w:r>
        <w:t xml:space="preserve"> For evaluation of CMM2008-01, those items marked with an * will be the basis of papers, whereas those items without will be in the forms of tables and other data extractsprovided to the Secretariat</w:t>
      </w:r>
    </w:p>
  </w:footnote>
  <w:footnote w:id="4">
    <w:p w:rsidR="000254E4" w:rsidRDefault="000254E4" w:rsidP="000254E4">
      <w:pPr>
        <w:pStyle w:val="FootnoteText"/>
      </w:pPr>
      <w:r>
        <w:rPr>
          <w:rStyle w:val="FootnoteReference"/>
        </w:rPr>
        <w:footnoteRef/>
      </w:r>
      <w:r w:rsidR="00033EDA" w:rsidRPr="00033EDA">
        <w:rPr>
          <w:sz w:val="22"/>
          <w:szCs w:val="22"/>
        </w:rPr>
        <w:t>USD 130,000 earmarked for “ERA” will cover the costs of employment of a Shark Stock Assessment Scientist (to be recruited in 2010),  consu</w:t>
      </w:r>
      <w:r w:rsidR="003F257A">
        <w:rPr>
          <w:sz w:val="22"/>
          <w:szCs w:val="22"/>
        </w:rPr>
        <w:t>ltancy work carried out under x</w:t>
      </w:r>
      <w:r w:rsidR="00033EDA" w:rsidRPr="00033EDA">
        <w:rPr>
          <w:sz w:val="22"/>
          <w:szCs w:val="22"/>
        </w:rPr>
        <w:t xml:space="preserve">i (1) and management costs. In view of the fact that less than one year of costs will be incurred for the Shark Stock Assessment Scientist in 2010, any funding surplus in the ERA component for 2010 will be taken into account in deciding on the allocation of funding to </w:t>
      </w:r>
      <w:r w:rsidR="00033EDA">
        <w:rPr>
          <w:sz w:val="22"/>
          <w:szCs w:val="22"/>
        </w:rPr>
        <w:t>this component, if any, in 2011</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CA87CE0"/>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3BF3EC9"/>
    <w:multiLevelType w:val="hybridMultilevel"/>
    <w:tmpl w:val="AF0251B8"/>
    <w:lvl w:ilvl="0" w:tplc="28A6CB48">
      <w:start w:val="1"/>
      <w:numFmt w:val="lowerRoman"/>
      <w:lvlText w:val="%1."/>
      <w:lvlJc w:val="left"/>
      <w:pPr>
        <w:tabs>
          <w:tab w:val="num" w:pos="567"/>
        </w:tabs>
        <w:ind w:left="567" w:hanging="567"/>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DB6A15"/>
    <w:multiLevelType w:val="hybridMultilevel"/>
    <w:tmpl w:val="8BA81A7E"/>
    <w:lvl w:ilvl="0" w:tplc="6D222148">
      <w:start w:val="3"/>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24167C"/>
    <w:multiLevelType w:val="hybridMultilevel"/>
    <w:tmpl w:val="042C7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EF4374"/>
    <w:multiLevelType w:val="hybridMultilevel"/>
    <w:tmpl w:val="FB6C22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91D34"/>
    <w:multiLevelType w:val="hybridMultilevel"/>
    <w:tmpl w:val="2B3E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683015"/>
    <w:multiLevelType w:val="hybridMultilevel"/>
    <w:tmpl w:val="BBE6E2CE"/>
    <w:lvl w:ilvl="0" w:tplc="877893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DB2765"/>
    <w:multiLevelType w:val="hybridMultilevel"/>
    <w:tmpl w:val="21AC1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2E5851"/>
    <w:multiLevelType w:val="hybridMultilevel"/>
    <w:tmpl w:val="BD16691C"/>
    <w:lvl w:ilvl="0" w:tplc="706ECE7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8B201E"/>
    <w:multiLevelType w:val="hybridMultilevel"/>
    <w:tmpl w:val="2E4CA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43199B"/>
    <w:multiLevelType w:val="hybridMultilevel"/>
    <w:tmpl w:val="EFFE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881D28"/>
    <w:multiLevelType w:val="hybridMultilevel"/>
    <w:tmpl w:val="D3142E8C"/>
    <w:lvl w:ilvl="0" w:tplc="F50EB182">
      <w:start w:val="1"/>
      <w:numFmt w:val="lowerRoman"/>
      <w:lvlText w:val="%1."/>
      <w:lvlJc w:val="left"/>
      <w:pPr>
        <w:tabs>
          <w:tab w:val="num" w:pos="567"/>
        </w:tabs>
        <w:ind w:left="567" w:hanging="567"/>
      </w:pPr>
      <w:rPr>
        <w:rFonts w:ascii="Times New Roman" w:hAnsi="Times New Roman" w:hint="default"/>
        <w:b w:val="0"/>
        <w:i w:val="0"/>
        <w:sz w:val="24"/>
        <w:szCs w:val="24"/>
      </w:rPr>
    </w:lvl>
    <w:lvl w:ilvl="1" w:tplc="C1F2EB7A" w:tentative="1">
      <w:start w:val="1"/>
      <w:numFmt w:val="lowerLetter"/>
      <w:lvlText w:val="%2."/>
      <w:lvlJc w:val="left"/>
      <w:pPr>
        <w:tabs>
          <w:tab w:val="num" w:pos="1440"/>
        </w:tabs>
        <w:ind w:left="1440" w:hanging="360"/>
      </w:pPr>
    </w:lvl>
    <w:lvl w:ilvl="2" w:tplc="701C7FBE"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722657"/>
    <w:multiLevelType w:val="hybridMultilevel"/>
    <w:tmpl w:val="1F38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BD4A63"/>
    <w:multiLevelType w:val="hybridMultilevel"/>
    <w:tmpl w:val="1700A84E"/>
    <w:lvl w:ilvl="0" w:tplc="F50EB182">
      <w:start w:val="1"/>
      <w:numFmt w:val="bullet"/>
      <w:lvlText w:val=""/>
      <w:lvlJc w:val="left"/>
      <w:pPr>
        <w:tabs>
          <w:tab w:val="num" w:pos="567"/>
        </w:tabs>
        <w:ind w:left="567" w:hanging="567"/>
      </w:pPr>
      <w:rPr>
        <w:rFonts w:ascii="Symbol" w:hAnsi="Symbol" w:hint="default"/>
      </w:rPr>
    </w:lvl>
    <w:lvl w:ilvl="1" w:tplc="C1F2EB7A" w:tentative="1">
      <w:start w:val="1"/>
      <w:numFmt w:val="bullet"/>
      <w:lvlText w:val="o"/>
      <w:lvlJc w:val="left"/>
      <w:pPr>
        <w:tabs>
          <w:tab w:val="num" w:pos="1440"/>
        </w:tabs>
        <w:ind w:left="1440" w:hanging="360"/>
      </w:pPr>
      <w:rPr>
        <w:rFonts w:ascii="Courier New" w:hAnsi="Courier New" w:cs="Courier New" w:hint="default"/>
      </w:rPr>
    </w:lvl>
    <w:lvl w:ilvl="2" w:tplc="701C7FB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512E1A20"/>
    <w:multiLevelType w:val="hybridMultilevel"/>
    <w:tmpl w:val="F5DA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A25408"/>
    <w:multiLevelType w:val="hybridMultilevel"/>
    <w:tmpl w:val="0F04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085C55"/>
    <w:multiLevelType w:val="hybridMultilevel"/>
    <w:tmpl w:val="E19CC1A4"/>
    <w:lvl w:ilvl="0" w:tplc="723E3ACC">
      <w:start w:val="1"/>
      <w:numFmt w:val="lowerRoman"/>
      <w:lvlText w:val="%1."/>
      <w:lvlJc w:val="left"/>
      <w:pPr>
        <w:tabs>
          <w:tab w:val="num" w:pos="567"/>
        </w:tabs>
        <w:ind w:left="567" w:hanging="567"/>
      </w:pPr>
      <w:rPr>
        <w:rFonts w:ascii="Times New Roman" w:hAnsi="Times New Roman" w:hint="default"/>
        <w:b w:val="0"/>
        <w:i w:val="0"/>
        <w:sz w:val="24"/>
        <w:szCs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nsid w:val="58586F32"/>
    <w:multiLevelType w:val="hybridMultilevel"/>
    <w:tmpl w:val="70AAA026"/>
    <w:lvl w:ilvl="0" w:tplc="723E3ACC">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nsid w:val="5C090612"/>
    <w:multiLevelType w:val="hybridMultilevel"/>
    <w:tmpl w:val="2E5A83E0"/>
    <w:lvl w:ilvl="0" w:tplc="EBF25A68">
      <w:start w:val="1"/>
      <w:numFmt w:val="bullet"/>
      <w:lvlText w:val=""/>
      <w:lvlJc w:val="left"/>
      <w:pPr>
        <w:tabs>
          <w:tab w:val="num" w:pos="567"/>
        </w:tabs>
        <w:ind w:left="567"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5F226C68"/>
    <w:multiLevelType w:val="hybridMultilevel"/>
    <w:tmpl w:val="4F72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F770E2"/>
    <w:multiLevelType w:val="hybridMultilevel"/>
    <w:tmpl w:val="A742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377086"/>
    <w:multiLevelType w:val="hybridMultilevel"/>
    <w:tmpl w:val="068EE134"/>
    <w:lvl w:ilvl="0" w:tplc="EBF25A6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EB7F60"/>
    <w:multiLevelType w:val="hybridMultilevel"/>
    <w:tmpl w:val="CF0A5EB2"/>
    <w:lvl w:ilvl="0" w:tplc="28A6CB4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F3299F"/>
    <w:multiLevelType w:val="hybridMultilevel"/>
    <w:tmpl w:val="E45EA380"/>
    <w:lvl w:ilvl="0" w:tplc="28A6CB48">
      <w:start w:val="1"/>
      <w:numFmt w:val="lowerRoman"/>
      <w:lvlText w:val="%1."/>
      <w:lvlJc w:val="left"/>
      <w:pPr>
        <w:tabs>
          <w:tab w:val="num" w:pos="567"/>
        </w:tabs>
        <w:ind w:left="567" w:hanging="567"/>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A7B043B"/>
    <w:multiLevelType w:val="hybridMultilevel"/>
    <w:tmpl w:val="E76E19A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8"/>
  </w:num>
  <w:num w:numId="3">
    <w:abstractNumId w:val="22"/>
  </w:num>
  <w:num w:numId="4">
    <w:abstractNumId w:val="8"/>
  </w:num>
  <w:num w:numId="5">
    <w:abstractNumId w:val="13"/>
  </w:num>
  <w:num w:numId="6">
    <w:abstractNumId w:val="1"/>
  </w:num>
  <w:num w:numId="7">
    <w:abstractNumId w:val="23"/>
  </w:num>
  <w:num w:numId="8">
    <w:abstractNumId w:val="16"/>
  </w:num>
  <w:num w:numId="9">
    <w:abstractNumId w:val="11"/>
  </w:num>
  <w:num w:numId="10">
    <w:abstractNumId w:val="3"/>
  </w:num>
  <w:num w:numId="11">
    <w:abstractNumId w:val="17"/>
  </w:num>
  <w:num w:numId="12">
    <w:abstractNumId w:val="24"/>
  </w:num>
  <w:num w:numId="13">
    <w:abstractNumId w:val="4"/>
  </w:num>
  <w:num w:numId="14">
    <w:abstractNumId w:val="21"/>
  </w:num>
  <w:num w:numId="15">
    <w:abstractNumId w:val="6"/>
  </w:num>
  <w:num w:numId="16">
    <w:abstractNumId w:val="2"/>
  </w:num>
  <w:num w:numId="17">
    <w:abstractNumId w:val="12"/>
  </w:num>
  <w:num w:numId="18">
    <w:abstractNumId w:val="15"/>
  </w:num>
  <w:num w:numId="19">
    <w:abstractNumId w:val="7"/>
  </w:num>
  <w:num w:numId="20">
    <w:abstractNumId w:val="10"/>
  </w:num>
  <w:num w:numId="21">
    <w:abstractNumId w:val="14"/>
  </w:num>
  <w:num w:numId="22">
    <w:abstractNumId w:val="20"/>
  </w:num>
  <w:num w:numId="23">
    <w:abstractNumId w:val="19"/>
  </w:num>
  <w:num w:numId="24">
    <w:abstractNumId w:val="5"/>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516EF6"/>
    <w:rsid w:val="000254E4"/>
    <w:rsid w:val="00033EDA"/>
    <w:rsid w:val="00042AE4"/>
    <w:rsid w:val="000A2C66"/>
    <w:rsid w:val="0025046B"/>
    <w:rsid w:val="002E6981"/>
    <w:rsid w:val="003314D1"/>
    <w:rsid w:val="003F257A"/>
    <w:rsid w:val="00516EF6"/>
    <w:rsid w:val="006B7370"/>
    <w:rsid w:val="00C42F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F6"/>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516EF6"/>
    <w:pPr>
      <w:keepNext/>
      <w:numPr>
        <w:numId w:val="1"/>
      </w:numPr>
      <w:suppressAutoHyphens/>
      <w:spacing w:before="360" w:after="240"/>
      <w:jc w:val="center"/>
      <w:outlineLvl w:val="0"/>
    </w:pPr>
    <w:rPr>
      <w:b/>
      <w:bCs/>
      <w:kern w:val="32"/>
      <w:sz w:val="28"/>
      <w:szCs w:val="28"/>
      <w:lang w:val="en-GB" w:eastAsia="ar-SA"/>
    </w:rPr>
  </w:style>
  <w:style w:type="paragraph" w:styleId="Heading2">
    <w:name w:val="heading 2"/>
    <w:basedOn w:val="Normal"/>
    <w:next w:val="Normal"/>
    <w:link w:val="Heading2Char"/>
    <w:unhideWhenUsed/>
    <w:qFormat/>
    <w:rsid w:val="00516EF6"/>
    <w:pPr>
      <w:numPr>
        <w:ilvl w:val="1"/>
        <w:numId w:val="1"/>
      </w:numPr>
      <w:suppressAutoHyphens/>
      <w:spacing w:before="240" w:after="120"/>
      <w:outlineLvl w:val="1"/>
    </w:pPr>
    <w:rPr>
      <w:b/>
      <w:szCs w:val="28"/>
      <w:lang w:val="en-GB" w:eastAsia="ar-SA"/>
    </w:rPr>
  </w:style>
  <w:style w:type="paragraph" w:styleId="Heading3">
    <w:name w:val="heading 3"/>
    <w:basedOn w:val="Normal"/>
    <w:next w:val="Normal"/>
    <w:link w:val="Heading3Char"/>
    <w:unhideWhenUsed/>
    <w:qFormat/>
    <w:rsid w:val="00516EF6"/>
    <w:pPr>
      <w:keepNext/>
      <w:keepLines/>
      <w:numPr>
        <w:ilvl w:val="2"/>
        <w:numId w:val="1"/>
      </w:numPr>
      <w:suppressAutoHyphens/>
      <w:spacing w:before="240" w:after="120"/>
      <w:outlineLvl w:val="2"/>
    </w:pPr>
    <w:rPr>
      <w:b/>
      <w:i/>
      <w:sz w:val="22"/>
      <w:szCs w:val="2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6EF6"/>
    <w:rPr>
      <w:rFonts w:ascii="Times New Roman" w:eastAsia="Times New Roman" w:hAnsi="Times New Roman" w:cs="Times New Roman"/>
      <w:b/>
      <w:bCs/>
      <w:kern w:val="32"/>
      <w:sz w:val="28"/>
      <w:szCs w:val="28"/>
      <w:lang w:val="en-GB" w:eastAsia="ar-SA"/>
    </w:rPr>
  </w:style>
  <w:style w:type="character" w:customStyle="1" w:styleId="Heading2Char">
    <w:name w:val="Heading 2 Char"/>
    <w:basedOn w:val="DefaultParagraphFont"/>
    <w:link w:val="Heading2"/>
    <w:rsid w:val="00516EF6"/>
    <w:rPr>
      <w:rFonts w:ascii="Times New Roman" w:eastAsia="Times New Roman" w:hAnsi="Times New Roman" w:cs="Times New Roman"/>
      <w:b/>
      <w:sz w:val="24"/>
      <w:szCs w:val="28"/>
      <w:lang w:val="en-GB" w:eastAsia="ar-SA"/>
    </w:rPr>
  </w:style>
  <w:style w:type="character" w:customStyle="1" w:styleId="Heading3Char">
    <w:name w:val="Heading 3 Char"/>
    <w:basedOn w:val="DefaultParagraphFont"/>
    <w:link w:val="Heading3"/>
    <w:rsid w:val="00516EF6"/>
    <w:rPr>
      <w:rFonts w:ascii="Times New Roman" w:eastAsia="Times New Roman" w:hAnsi="Times New Roman" w:cs="Times New Roman"/>
      <w:b/>
      <w:i/>
      <w:lang w:val="en-GB" w:eastAsia="ar-SA"/>
    </w:rPr>
  </w:style>
  <w:style w:type="paragraph" w:customStyle="1" w:styleId="Default">
    <w:name w:val="Default"/>
    <w:link w:val="DefaultChar"/>
    <w:rsid w:val="00516EF6"/>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DefaultChar">
    <w:name w:val="Default Char"/>
    <w:basedOn w:val="DefaultParagraphFont"/>
    <w:link w:val="Default"/>
    <w:rsid w:val="00516EF6"/>
    <w:rPr>
      <w:rFonts w:ascii="Times New Roman" w:eastAsia="Times New Roman" w:hAnsi="Times New Roman" w:cs="Times New Roman"/>
      <w:color w:val="000000"/>
      <w:sz w:val="24"/>
      <w:szCs w:val="24"/>
      <w:lang w:eastAsia="en-US"/>
    </w:rPr>
  </w:style>
  <w:style w:type="paragraph" w:styleId="ListParagraph">
    <w:name w:val="List Paragraph"/>
    <w:basedOn w:val="Normal"/>
    <w:uiPriority w:val="34"/>
    <w:qFormat/>
    <w:rsid w:val="00516EF6"/>
    <w:pPr>
      <w:ind w:left="720"/>
    </w:pPr>
  </w:style>
  <w:style w:type="table" w:styleId="TableGrid">
    <w:name w:val="Table Grid"/>
    <w:basedOn w:val="TableNormal"/>
    <w:rsid w:val="000254E4"/>
    <w:pPr>
      <w:spacing w:after="120" w:line="240" w:lineRule="auto"/>
    </w:pPr>
    <w:rPr>
      <w:rFonts w:ascii="Times New Roman" w:eastAsia="Batang" w:hAnsi="Times New Roman" w:cs="Times New Roman"/>
      <w:sz w:val="20"/>
      <w:szCs w:val="2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0254E4"/>
    <w:rPr>
      <w:rFonts w:eastAsia="Batang"/>
      <w:sz w:val="20"/>
      <w:szCs w:val="20"/>
    </w:rPr>
  </w:style>
  <w:style w:type="character" w:customStyle="1" w:styleId="FootnoteTextChar">
    <w:name w:val="Footnote Text Char"/>
    <w:basedOn w:val="DefaultParagraphFont"/>
    <w:link w:val="FootnoteText"/>
    <w:semiHidden/>
    <w:rsid w:val="000254E4"/>
    <w:rPr>
      <w:rFonts w:ascii="Times New Roman" w:eastAsia="Batang" w:hAnsi="Times New Roman" w:cs="Times New Roman"/>
      <w:sz w:val="20"/>
      <w:szCs w:val="20"/>
      <w:lang w:eastAsia="en-US"/>
    </w:rPr>
  </w:style>
  <w:style w:type="character" w:styleId="FootnoteReference">
    <w:name w:val="footnote reference"/>
    <w:basedOn w:val="DefaultParagraphFont"/>
    <w:semiHidden/>
    <w:rsid w:val="000254E4"/>
    <w:rPr>
      <w:rFonts w:cs="Times New Roman"/>
      <w:vertAlign w:val="superscript"/>
    </w:rPr>
  </w:style>
  <w:style w:type="paragraph" w:styleId="Header">
    <w:name w:val="header"/>
    <w:basedOn w:val="Normal"/>
    <w:link w:val="HeaderChar"/>
    <w:uiPriority w:val="99"/>
    <w:semiHidden/>
    <w:unhideWhenUsed/>
    <w:rsid w:val="00033EDA"/>
    <w:pPr>
      <w:tabs>
        <w:tab w:val="center" w:pos="4513"/>
        <w:tab w:val="right" w:pos="9026"/>
      </w:tabs>
    </w:pPr>
  </w:style>
  <w:style w:type="character" w:customStyle="1" w:styleId="HeaderChar">
    <w:name w:val="Header Char"/>
    <w:basedOn w:val="DefaultParagraphFont"/>
    <w:link w:val="Header"/>
    <w:uiPriority w:val="99"/>
    <w:semiHidden/>
    <w:rsid w:val="00033EDA"/>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033EDA"/>
    <w:pPr>
      <w:tabs>
        <w:tab w:val="center" w:pos="4513"/>
        <w:tab w:val="right" w:pos="9026"/>
      </w:tabs>
    </w:pPr>
  </w:style>
  <w:style w:type="character" w:customStyle="1" w:styleId="FooterChar">
    <w:name w:val="Footer Char"/>
    <w:basedOn w:val="DefaultParagraphFont"/>
    <w:link w:val="Footer"/>
    <w:uiPriority w:val="99"/>
    <w:rsid w:val="00033EDA"/>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3538</Words>
  <Characters>20171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SungKwon Soh</dc:creator>
  <cp:lastModifiedBy>johnh</cp:lastModifiedBy>
  <cp:revision>2</cp:revision>
  <dcterms:created xsi:type="dcterms:W3CDTF">2010-03-12T04:08:00Z</dcterms:created>
  <dcterms:modified xsi:type="dcterms:W3CDTF">2010-03-12T04:08:00Z</dcterms:modified>
</cp:coreProperties>
</file>