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82" w:rsidRPr="009C3B51" w:rsidRDefault="006C1C82" w:rsidP="001A6F36">
      <w:pPr>
        <w:jc w:val="both"/>
        <w:rPr>
          <w:b/>
          <w:sz w:val="28"/>
          <w:szCs w:val="28"/>
          <w:lang w:val="en-NZ"/>
        </w:rPr>
      </w:pPr>
      <w:r w:rsidRPr="009C3B51">
        <w:rPr>
          <w:b/>
          <w:sz w:val="28"/>
          <w:szCs w:val="28"/>
          <w:lang w:val="en-NZ"/>
        </w:rPr>
        <w:t>Title</w:t>
      </w:r>
    </w:p>
    <w:p w:rsidR="006C1C82" w:rsidRPr="009C3B51" w:rsidRDefault="006C1C82" w:rsidP="001A6F36">
      <w:pPr>
        <w:jc w:val="both"/>
        <w:rPr>
          <w:b/>
          <w:sz w:val="22"/>
          <w:szCs w:val="22"/>
          <w:lang w:val="en-NZ"/>
        </w:rPr>
      </w:pPr>
    </w:p>
    <w:p w:rsidR="006C1C82" w:rsidRPr="009C3B51" w:rsidRDefault="006C1C82" w:rsidP="001A6F36">
      <w:pPr>
        <w:jc w:val="both"/>
        <w:rPr>
          <w:sz w:val="22"/>
          <w:szCs w:val="22"/>
          <w:lang w:val="en-NZ"/>
        </w:rPr>
      </w:pPr>
      <w:bookmarkStart w:id="0" w:name="OLE_LINK1"/>
      <w:r w:rsidRPr="009C3B51">
        <w:rPr>
          <w:sz w:val="22"/>
          <w:szCs w:val="22"/>
          <w:lang w:val="en-NZ"/>
        </w:rPr>
        <w:t xml:space="preserve">Strategic support for </w:t>
      </w:r>
      <w:r w:rsidR="009C3B51" w:rsidRPr="009C3B51">
        <w:rPr>
          <w:sz w:val="22"/>
          <w:szCs w:val="22"/>
          <w:lang w:val="en-NZ"/>
        </w:rPr>
        <w:t>implementa</w:t>
      </w:r>
      <w:r w:rsidRPr="009C3B51">
        <w:rPr>
          <w:sz w:val="22"/>
          <w:szCs w:val="22"/>
          <w:lang w:val="en-NZ"/>
        </w:rPr>
        <w:t>tion of Pacific Island Regional Fisheries Observer standards in 2010</w:t>
      </w:r>
      <w:bookmarkEnd w:id="0"/>
    </w:p>
    <w:p w:rsidR="002A1093" w:rsidRDefault="002A1093" w:rsidP="009C3B51">
      <w:pPr>
        <w:pStyle w:val="Heading1"/>
        <w:rPr>
          <w:bCs w:val="0"/>
          <w:kern w:val="0"/>
          <w:sz w:val="22"/>
          <w:szCs w:val="22"/>
          <w:lang w:val="en-NZ"/>
        </w:rPr>
      </w:pPr>
    </w:p>
    <w:p w:rsidR="009C3B51" w:rsidRPr="009C3B51" w:rsidRDefault="009C3B51" w:rsidP="009C3B51">
      <w:pPr>
        <w:pStyle w:val="Heading1"/>
        <w:rPr>
          <w:bCs w:val="0"/>
          <w:kern w:val="0"/>
          <w:sz w:val="22"/>
          <w:szCs w:val="22"/>
          <w:lang w:val="en-NZ"/>
        </w:rPr>
      </w:pPr>
      <w:r w:rsidRPr="009C3B51">
        <w:rPr>
          <w:bCs w:val="0"/>
          <w:kern w:val="0"/>
          <w:sz w:val="22"/>
          <w:szCs w:val="22"/>
          <w:lang w:val="en-NZ"/>
        </w:rPr>
        <w:t>Background and needs</w:t>
      </w:r>
    </w:p>
    <w:p w:rsidR="009C3B51" w:rsidRPr="009C3B51" w:rsidRDefault="009C3B51" w:rsidP="009C3B51">
      <w:pPr>
        <w:rPr>
          <w:lang w:val="en-NZ"/>
        </w:rPr>
      </w:pPr>
    </w:p>
    <w:p w:rsidR="009C3B51" w:rsidRDefault="009C3B51" w:rsidP="009C3B51">
      <w:pPr>
        <w:rPr>
          <w:lang w:val="en-NZ"/>
        </w:rPr>
      </w:pPr>
      <w:r w:rsidRPr="009C3B51">
        <w:rPr>
          <w:lang w:val="en-NZ"/>
        </w:rPr>
        <w:t xml:space="preserve">Sea-going observers collect independent and impartial fisheries data. The data is used to verify and augment other types of fisheries data.  </w:t>
      </w:r>
    </w:p>
    <w:p w:rsidR="00DE748B" w:rsidRPr="009C3B51" w:rsidRDefault="00DE748B" w:rsidP="009C3B51">
      <w:pPr>
        <w:rPr>
          <w:lang w:val="en-NZ"/>
        </w:rPr>
      </w:pPr>
    </w:p>
    <w:p w:rsidR="009C3B51" w:rsidRDefault="009C3B51" w:rsidP="009C3B51">
      <w:pPr>
        <w:rPr>
          <w:lang w:val="en-NZ"/>
        </w:rPr>
      </w:pPr>
      <w:r w:rsidRPr="009C3B51">
        <w:rPr>
          <w:lang w:val="en-NZ"/>
        </w:rPr>
        <w:t xml:space="preserve">The Oceanic Fisheries Programme (OFP) has traditionally provided regional coordination for the observer programmes of Pacific Island Country and Territories (PICTs) and supports the work of national observer programmes. To do this SPC and FFA offer regionally recognised observer training courses.  SPC also offers on-going programme support, advice, programme evaluation and data quality feedback to national programmes and promotes the establishment of new observer programmes.  Port sampling work is also supported. </w:t>
      </w:r>
    </w:p>
    <w:p w:rsidR="00DE748B" w:rsidRPr="009C3B51" w:rsidRDefault="00DE748B" w:rsidP="009C3B51">
      <w:pPr>
        <w:rPr>
          <w:lang w:val="en-NZ"/>
        </w:rPr>
      </w:pPr>
    </w:p>
    <w:p w:rsidR="009C3B51" w:rsidRDefault="009C3B51" w:rsidP="009C3B51">
      <w:pPr>
        <w:rPr>
          <w:lang w:val="en-NZ"/>
        </w:rPr>
      </w:pPr>
      <w:r w:rsidRPr="009C3B51">
        <w:rPr>
          <w:lang w:val="en-NZ"/>
        </w:rPr>
        <w:t>Increased observer coverage demands resulting from several WCPFC Conservation and Management Measures (CMMs) have lead to demand for observer training in Pacific Island countries and territories (PICTs) that greatly exceeds the capacity of the courses SPC and FFA provide.  This project is aimed to build on the 2009 JTF PIRFO project to build and improve the capacity outside of regional organisations to deliver sufficient quality training to meet observer recruiting needs.  To improve capacity Observer Trainers will be established within selected Pacific Island national programmes and suitable training institutions.  National Observer Trainers will improve a national programme’s capacity to recruit observers and reduce the reliance on training from SPC and FFA.</w:t>
      </w:r>
    </w:p>
    <w:p w:rsidR="00DE748B" w:rsidRPr="009C3B51" w:rsidRDefault="00DE748B" w:rsidP="009C3B51">
      <w:pPr>
        <w:rPr>
          <w:lang w:val="en-NZ"/>
        </w:rPr>
      </w:pPr>
    </w:p>
    <w:p w:rsidR="009C3B51" w:rsidRDefault="009C3B51" w:rsidP="009C3B51">
      <w:pPr>
        <w:rPr>
          <w:lang w:val="en-NZ"/>
        </w:rPr>
      </w:pPr>
      <w:r w:rsidRPr="009C3B51">
        <w:rPr>
          <w:lang w:val="en-NZ"/>
        </w:rPr>
        <w:t xml:space="preserve">In 2007, SPC and FFA embarked on a project to adopt a more formalized Competency Based Training (CBT) approach to the further development of fisheries Observer training. The initial focus of the project was to develop a competency standard based curriculum for Observer training with an associated training assessment and evidence guide. This curriculum, titled Pacific Island Regional Fisheries Observer (PIRFO) was developed </w:t>
      </w:r>
      <w:r w:rsidR="002A1093">
        <w:rPr>
          <w:lang w:val="en-NZ"/>
        </w:rPr>
        <w:t xml:space="preserve">and subject to initial trial </w:t>
      </w:r>
      <w:r w:rsidRPr="009C3B51">
        <w:rPr>
          <w:lang w:val="en-NZ"/>
        </w:rPr>
        <w:t xml:space="preserve">in early 2008 and was subsequently endorsed by the 67th Meetings of the Forum Fisheries Committee as a regional qualification standard in May 2008. </w:t>
      </w:r>
    </w:p>
    <w:p w:rsidR="00DE748B" w:rsidRPr="009C3B51" w:rsidRDefault="00DE748B" w:rsidP="009C3B51">
      <w:pPr>
        <w:rPr>
          <w:lang w:val="en-NZ"/>
        </w:rPr>
      </w:pPr>
    </w:p>
    <w:p w:rsidR="009C3B51" w:rsidRPr="009C3B51" w:rsidRDefault="009C3B51" w:rsidP="009C3B51">
      <w:pPr>
        <w:rPr>
          <w:lang w:val="en-NZ"/>
        </w:rPr>
      </w:pPr>
      <w:r w:rsidRPr="009C3B51">
        <w:rPr>
          <w:lang w:val="en-NZ"/>
        </w:rPr>
        <w:t xml:space="preserve">Endorsement of the PIRFO standards as a regional Observer Qualification paved the way for SPC and FFA to work collectively with National Observer Programs and cooperatively with the WCPFC Regional Observer Program on the development and implementation of an agreed strategy for regional PIRFO implementation. The priority of PIRFO development and implementation was reinforced by the PNA commitment to 100% observer coverage for PNA vessels implemented in July and August 2008 and to continue indefinitely from January 1st 2010.  </w:t>
      </w:r>
    </w:p>
    <w:p w:rsidR="009C3B51" w:rsidRPr="009C3B51" w:rsidRDefault="009C3B51" w:rsidP="009C3B51">
      <w:pPr>
        <w:rPr>
          <w:lang w:val="en-NZ"/>
        </w:rPr>
      </w:pPr>
      <w:r w:rsidRPr="009C3B51">
        <w:rPr>
          <w:lang w:val="en-NZ"/>
        </w:rPr>
        <w:t>This five-fold increase over the previous rate of targeted coverage, never fully achieved, requires the training of many more Fisheries Observers, development of national capacity to manage those observers, including robust data quality control strategies, and the ability to manage the observer data generated.  Further demands are inherent in the 5% coverage of longliners also required in the WCPFC Convention area by 2012.  Regional coverag</w:t>
      </w:r>
      <w:r>
        <w:rPr>
          <w:lang w:val="en-NZ"/>
        </w:rPr>
        <w:t>e</w:t>
      </w:r>
      <w:r w:rsidRPr="009C3B51">
        <w:rPr>
          <w:lang w:val="en-NZ"/>
        </w:rPr>
        <w:t xml:space="preserve"> rate of longliners is currently 1%.  </w:t>
      </w:r>
    </w:p>
    <w:p w:rsidR="00DE748B" w:rsidRDefault="00DE748B" w:rsidP="009C3B51">
      <w:pPr>
        <w:tabs>
          <w:tab w:val="left" w:pos="-720"/>
          <w:tab w:val="left" w:pos="2835"/>
        </w:tabs>
        <w:suppressAutoHyphens/>
        <w:rPr>
          <w:lang w:val="en-NZ"/>
        </w:rPr>
      </w:pPr>
    </w:p>
    <w:p w:rsidR="00DE748B" w:rsidRDefault="00DE748B" w:rsidP="009C3B51">
      <w:pPr>
        <w:tabs>
          <w:tab w:val="left" w:pos="-720"/>
          <w:tab w:val="left" w:pos="2835"/>
        </w:tabs>
        <w:suppressAutoHyphens/>
        <w:rPr>
          <w:lang w:val="en-NZ"/>
        </w:rPr>
      </w:pPr>
    </w:p>
    <w:p w:rsidR="009C3B51" w:rsidRPr="009C3B51" w:rsidRDefault="009C3B51" w:rsidP="009C3B51">
      <w:pPr>
        <w:tabs>
          <w:tab w:val="left" w:pos="-720"/>
          <w:tab w:val="left" w:pos="2835"/>
        </w:tabs>
        <w:suppressAutoHyphens/>
        <w:rPr>
          <w:lang w:val="en-NZ"/>
        </w:rPr>
      </w:pPr>
      <w:r w:rsidRPr="009C3B51">
        <w:rPr>
          <w:lang w:val="en-NZ"/>
        </w:rPr>
        <w:lastRenderedPageBreak/>
        <w:t>Due to lack of sufficient resources to undertake work in to develop the PIRFO standards this has been an extended process through 2008 and 2009. During 2009 a concurrent programme of implementation was commenced with the help of JTF funds.  The process of implementation involves the following steps:</w:t>
      </w:r>
    </w:p>
    <w:p w:rsidR="009C3B51" w:rsidRPr="009C3B51" w:rsidRDefault="009C3B51" w:rsidP="009C3B51">
      <w:pPr>
        <w:tabs>
          <w:tab w:val="left" w:pos="-720"/>
          <w:tab w:val="left" w:pos="2835"/>
        </w:tabs>
        <w:suppressAutoHyphens/>
        <w:rPr>
          <w:lang w:val="en-NZ"/>
        </w:rPr>
      </w:pPr>
    </w:p>
    <w:p w:rsidR="009C3B51" w:rsidRPr="009C3B51" w:rsidRDefault="009C3B51" w:rsidP="009C3B51">
      <w:pPr>
        <w:numPr>
          <w:ilvl w:val="0"/>
          <w:numId w:val="21"/>
        </w:numPr>
        <w:rPr>
          <w:lang w:val="en-NZ"/>
        </w:rPr>
      </w:pPr>
      <w:r w:rsidRPr="009C3B51">
        <w:rPr>
          <w:lang w:val="en-NZ"/>
        </w:rPr>
        <w:t>Observer Training – planned to deliver six courses to train 90 new observers in 2009, which will include enhanced training in biological sampling to serve the Ecosystem Approach to Fisheries Management (EAFM) ideals adopted in the WCPO region</w:t>
      </w:r>
    </w:p>
    <w:p w:rsidR="009C3B51" w:rsidRPr="009C3B51" w:rsidRDefault="009C3B51" w:rsidP="009C3B51">
      <w:pPr>
        <w:numPr>
          <w:ilvl w:val="0"/>
          <w:numId w:val="21"/>
        </w:numPr>
        <w:rPr>
          <w:lang w:val="en-NZ"/>
        </w:rPr>
      </w:pPr>
      <w:r w:rsidRPr="009C3B51">
        <w:rPr>
          <w:lang w:val="en-NZ"/>
        </w:rPr>
        <w:t>Certification of existing Observers to new PIRFO standards (estimated 150 Observers)</w:t>
      </w:r>
    </w:p>
    <w:p w:rsidR="009C3B51" w:rsidRPr="009C3B51" w:rsidRDefault="009C3B51" w:rsidP="009C3B51">
      <w:pPr>
        <w:numPr>
          <w:ilvl w:val="0"/>
          <w:numId w:val="21"/>
        </w:numPr>
        <w:rPr>
          <w:lang w:val="en-NZ"/>
        </w:rPr>
      </w:pPr>
      <w:r w:rsidRPr="009C3B51">
        <w:rPr>
          <w:lang w:val="en-NZ"/>
        </w:rPr>
        <w:t>Observer Debriefer standards development</w:t>
      </w:r>
    </w:p>
    <w:p w:rsidR="009C3B51" w:rsidRPr="009C3B51" w:rsidRDefault="009C3B51" w:rsidP="009C3B51">
      <w:pPr>
        <w:numPr>
          <w:ilvl w:val="0"/>
          <w:numId w:val="21"/>
        </w:numPr>
        <w:jc w:val="both"/>
        <w:rPr>
          <w:lang w:val="en-NZ"/>
        </w:rPr>
      </w:pPr>
      <w:r w:rsidRPr="009C3B51">
        <w:rPr>
          <w:lang w:val="en-NZ"/>
        </w:rPr>
        <w:t>Certification of existing Debriefers – through an intensive data quality workshop so that participants will subsequently assume role as National Debriefer Certifiers</w:t>
      </w:r>
    </w:p>
    <w:p w:rsidR="009C3B51" w:rsidRPr="009C3B51" w:rsidRDefault="009C3B51" w:rsidP="009C3B51">
      <w:pPr>
        <w:numPr>
          <w:ilvl w:val="0"/>
          <w:numId w:val="21"/>
        </w:numPr>
        <w:jc w:val="both"/>
        <w:rPr>
          <w:lang w:val="en-NZ"/>
        </w:rPr>
      </w:pPr>
      <w:r w:rsidRPr="009C3B51">
        <w:rPr>
          <w:lang w:val="en-NZ"/>
        </w:rPr>
        <w:t xml:space="preserve">Development of Observer Trainers and Trainer certification </w:t>
      </w:r>
    </w:p>
    <w:p w:rsidR="009C3B51" w:rsidRPr="009C3B51" w:rsidRDefault="009C3B51" w:rsidP="009C3B51">
      <w:pPr>
        <w:numPr>
          <w:ilvl w:val="0"/>
          <w:numId w:val="21"/>
        </w:numPr>
        <w:jc w:val="both"/>
        <w:rPr>
          <w:lang w:val="en-NZ"/>
        </w:rPr>
      </w:pPr>
      <w:r w:rsidRPr="009C3B51">
        <w:rPr>
          <w:lang w:val="en-NZ"/>
        </w:rPr>
        <w:t>Institutional capacity building for Observer training delivery (training institutions)</w:t>
      </w:r>
    </w:p>
    <w:p w:rsidR="009C3B51" w:rsidRPr="009C3B51" w:rsidRDefault="009C3B51" w:rsidP="009C3B51">
      <w:pPr>
        <w:numPr>
          <w:ilvl w:val="0"/>
          <w:numId w:val="21"/>
        </w:numPr>
        <w:jc w:val="both"/>
        <w:rPr>
          <w:lang w:val="en-NZ"/>
        </w:rPr>
      </w:pPr>
      <w:r w:rsidRPr="009C3B51">
        <w:rPr>
          <w:lang w:val="en-NZ"/>
        </w:rPr>
        <w:t>Regional Moderation and quality control strategy</w:t>
      </w:r>
    </w:p>
    <w:p w:rsidR="009C3B51" w:rsidRPr="009C3B51" w:rsidRDefault="009C3B51" w:rsidP="009C3B51">
      <w:pPr>
        <w:numPr>
          <w:ilvl w:val="0"/>
          <w:numId w:val="21"/>
        </w:numPr>
        <w:jc w:val="both"/>
        <w:rPr>
          <w:lang w:val="en-NZ"/>
        </w:rPr>
      </w:pPr>
      <w:r w:rsidRPr="009C3B51">
        <w:rPr>
          <w:lang w:val="en-NZ"/>
        </w:rPr>
        <w:t>Institutional capacity building for Observer training delivery (training institutions)</w:t>
      </w:r>
    </w:p>
    <w:p w:rsidR="009C3B51" w:rsidRPr="009C3B51" w:rsidRDefault="009C3B51" w:rsidP="009C3B51">
      <w:pPr>
        <w:numPr>
          <w:ilvl w:val="0"/>
          <w:numId w:val="21"/>
        </w:numPr>
        <w:rPr>
          <w:rFonts w:ascii="Arial" w:hAnsi="Arial" w:cs="Arial"/>
          <w:szCs w:val="22"/>
          <w:lang w:val="en-NZ"/>
        </w:rPr>
      </w:pPr>
      <w:r w:rsidRPr="009C3B51">
        <w:rPr>
          <w:lang w:val="en-NZ"/>
        </w:rPr>
        <w:t>Development of Observer Trainers and Trainer certification</w:t>
      </w:r>
    </w:p>
    <w:p w:rsidR="009C3B51" w:rsidRPr="009C3B51" w:rsidRDefault="009C3B51" w:rsidP="009C3B51">
      <w:pPr>
        <w:numPr>
          <w:ilvl w:val="0"/>
          <w:numId w:val="21"/>
        </w:numPr>
        <w:rPr>
          <w:lang w:val="en-NZ"/>
        </w:rPr>
      </w:pPr>
      <w:r w:rsidRPr="009C3B51">
        <w:rPr>
          <w:lang w:val="en-NZ"/>
        </w:rPr>
        <w:t>Coordinate cost effective regional observer placements and management for Observer coverage to meet PNA aspirations (purse seine) and WCPFC mandated target coverage of longliners (600 annual longline placements by 2012)</w:t>
      </w:r>
    </w:p>
    <w:p w:rsidR="009C3B51" w:rsidRPr="009C3B51" w:rsidRDefault="009C3B51" w:rsidP="009C3B51">
      <w:pPr>
        <w:numPr>
          <w:ilvl w:val="0"/>
          <w:numId w:val="21"/>
        </w:numPr>
        <w:jc w:val="both"/>
        <w:rPr>
          <w:lang w:val="en-NZ"/>
        </w:rPr>
      </w:pPr>
      <w:r w:rsidRPr="009C3B51">
        <w:rPr>
          <w:lang w:val="en-NZ"/>
        </w:rPr>
        <w:t>Coordinate Observer Database development to support observer management and improve use of Observer data (further develop TUFMAN, TUBS and TOAD databases)</w:t>
      </w:r>
    </w:p>
    <w:p w:rsidR="009C3B51" w:rsidRPr="009C3B51" w:rsidRDefault="009C3B51" w:rsidP="009C3B51">
      <w:pPr>
        <w:numPr>
          <w:ilvl w:val="0"/>
          <w:numId w:val="21"/>
        </w:numPr>
        <w:jc w:val="both"/>
        <w:rPr>
          <w:lang w:val="en-NZ"/>
        </w:rPr>
      </w:pPr>
      <w:r w:rsidRPr="009C3B51">
        <w:rPr>
          <w:lang w:val="en-NZ"/>
        </w:rPr>
        <w:t>Observer Coordinators Workshop/s to strengthen National and Regional Observer programme coordination and launch the latest developments in PIRFO</w:t>
      </w:r>
    </w:p>
    <w:p w:rsidR="009C3B51" w:rsidRPr="009C3B51" w:rsidRDefault="009C3B51" w:rsidP="009C3B51">
      <w:pPr>
        <w:numPr>
          <w:ilvl w:val="0"/>
          <w:numId w:val="21"/>
        </w:numPr>
        <w:jc w:val="both"/>
        <w:rPr>
          <w:lang w:val="en-NZ"/>
        </w:rPr>
      </w:pPr>
      <w:r w:rsidRPr="009C3B51">
        <w:rPr>
          <w:lang w:val="en-NZ"/>
        </w:rPr>
        <w:t>Improve Observer processes, documentation and  auditing mechanisms for debriefers</w:t>
      </w:r>
    </w:p>
    <w:p w:rsidR="009C3B51" w:rsidRPr="009C3B51" w:rsidRDefault="009C3B51" w:rsidP="009C3B51">
      <w:pPr>
        <w:rPr>
          <w:lang w:val="en-NZ"/>
        </w:rPr>
      </w:pPr>
    </w:p>
    <w:p w:rsidR="009C3B51" w:rsidRPr="009C3B51" w:rsidRDefault="009C3B51" w:rsidP="009C3B51">
      <w:pPr>
        <w:rPr>
          <w:lang w:val="en-NZ"/>
        </w:rPr>
      </w:pPr>
      <w:r w:rsidRPr="009C3B51">
        <w:rPr>
          <w:lang w:val="en-NZ"/>
        </w:rPr>
        <w:t xml:space="preserve">The priorities for implementation </w:t>
      </w:r>
      <w:r w:rsidR="00DE748B">
        <w:rPr>
          <w:lang w:val="en-NZ"/>
        </w:rPr>
        <w:t xml:space="preserve">in </w:t>
      </w:r>
      <w:r w:rsidRPr="009C3B51">
        <w:rPr>
          <w:lang w:val="en-NZ"/>
        </w:rPr>
        <w:t>2009 were:</w:t>
      </w:r>
    </w:p>
    <w:p w:rsidR="009C3B51" w:rsidRPr="009C3B51" w:rsidRDefault="009C3B51" w:rsidP="009C3B51">
      <w:pPr>
        <w:numPr>
          <w:ilvl w:val="0"/>
          <w:numId w:val="22"/>
        </w:numPr>
        <w:jc w:val="both"/>
        <w:rPr>
          <w:lang w:val="en-NZ"/>
        </w:rPr>
      </w:pPr>
      <w:r w:rsidRPr="009C3B51">
        <w:rPr>
          <w:lang w:val="en-NZ"/>
        </w:rPr>
        <w:t xml:space="preserve">Develop a pool of certified Regional Observer Trainers  </w:t>
      </w:r>
    </w:p>
    <w:p w:rsidR="009C3B51" w:rsidRPr="009C3B51" w:rsidRDefault="009C3B51" w:rsidP="009C3B51">
      <w:pPr>
        <w:numPr>
          <w:ilvl w:val="0"/>
          <w:numId w:val="22"/>
        </w:numPr>
        <w:jc w:val="both"/>
        <w:rPr>
          <w:lang w:val="en-NZ"/>
        </w:rPr>
      </w:pPr>
      <w:r w:rsidRPr="009C3B51">
        <w:rPr>
          <w:lang w:val="en-NZ"/>
        </w:rPr>
        <w:t xml:space="preserve">Develop Observer training course resource material </w:t>
      </w:r>
    </w:p>
    <w:p w:rsidR="009C3B51" w:rsidRPr="009C3B51" w:rsidRDefault="009C3B51" w:rsidP="009C3B51">
      <w:pPr>
        <w:numPr>
          <w:ilvl w:val="0"/>
          <w:numId w:val="22"/>
        </w:numPr>
        <w:jc w:val="both"/>
        <w:rPr>
          <w:lang w:val="en-NZ"/>
        </w:rPr>
      </w:pPr>
      <w:r w:rsidRPr="009C3B51">
        <w:rPr>
          <w:lang w:val="en-NZ"/>
        </w:rPr>
        <w:t xml:space="preserve">Develop a pool of certified Regional Observer Debriefers </w:t>
      </w:r>
    </w:p>
    <w:p w:rsidR="009C3B51" w:rsidRPr="009C3B51" w:rsidRDefault="009C3B51" w:rsidP="009C3B51">
      <w:pPr>
        <w:numPr>
          <w:ilvl w:val="0"/>
          <w:numId w:val="22"/>
        </w:numPr>
        <w:jc w:val="both"/>
        <w:rPr>
          <w:lang w:val="en-NZ"/>
        </w:rPr>
      </w:pPr>
      <w:r w:rsidRPr="009C3B51">
        <w:rPr>
          <w:lang w:val="en-NZ"/>
        </w:rPr>
        <w:t xml:space="preserve">Enhance fisheries Observer capability to undertake biological sampling </w:t>
      </w:r>
    </w:p>
    <w:p w:rsidR="009C3B51" w:rsidRPr="009C3B51" w:rsidRDefault="009C3B51" w:rsidP="009C3B51">
      <w:pPr>
        <w:numPr>
          <w:ilvl w:val="0"/>
          <w:numId w:val="22"/>
        </w:numPr>
        <w:jc w:val="both"/>
        <w:rPr>
          <w:lang w:val="en-NZ"/>
        </w:rPr>
      </w:pPr>
      <w:r w:rsidRPr="009C3B51">
        <w:rPr>
          <w:lang w:val="en-NZ"/>
        </w:rPr>
        <w:t xml:space="preserve">National Observer Coordinators Workshop </w:t>
      </w:r>
    </w:p>
    <w:p w:rsidR="009C3B51" w:rsidRPr="009C3B51" w:rsidRDefault="009C3B51" w:rsidP="009C3B51">
      <w:pPr>
        <w:tabs>
          <w:tab w:val="left" w:pos="-720"/>
          <w:tab w:val="left" w:pos="2835"/>
        </w:tabs>
        <w:suppressAutoHyphens/>
        <w:rPr>
          <w:lang w:val="en-NZ"/>
        </w:rPr>
      </w:pPr>
    </w:p>
    <w:p w:rsidR="009C3B51" w:rsidRPr="009C3B51" w:rsidRDefault="009C3B51" w:rsidP="009C3B51">
      <w:pPr>
        <w:tabs>
          <w:tab w:val="left" w:pos="-720"/>
          <w:tab w:val="left" w:pos="2835"/>
        </w:tabs>
        <w:suppressAutoHyphens/>
        <w:rPr>
          <w:lang w:val="en-NZ"/>
        </w:rPr>
      </w:pPr>
      <w:r w:rsidRPr="009C3B51">
        <w:rPr>
          <w:lang w:val="en-NZ"/>
        </w:rPr>
        <w:t>In October 2009 the PIRFO Certification and Training Standards were made available on the SPC-OFP, FFA and WCPFC websites, despite the demand on available resources that required 15 basic observer training workshops instead of the 6 originally planned (item 1., above).</w:t>
      </w:r>
    </w:p>
    <w:p w:rsidR="009C3B51" w:rsidRPr="009C3B51" w:rsidRDefault="009C3B51" w:rsidP="009C3B51">
      <w:pPr>
        <w:tabs>
          <w:tab w:val="left" w:pos="-720"/>
          <w:tab w:val="left" w:pos="2835"/>
        </w:tabs>
        <w:suppressAutoHyphens/>
        <w:rPr>
          <w:lang w:val="en-NZ"/>
        </w:rPr>
      </w:pPr>
    </w:p>
    <w:p w:rsidR="009C3B51" w:rsidRPr="009C3B51" w:rsidRDefault="00DE748B" w:rsidP="009C3B51">
      <w:pPr>
        <w:tabs>
          <w:tab w:val="left" w:pos="-720"/>
          <w:tab w:val="left" w:pos="2835"/>
        </w:tabs>
        <w:suppressAutoHyphens/>
        <w:rPr>
          <w:lang w:val="en-NZ"/>
        </w:rPr>
      </w:pPr>
      <w:r>
        <w:rPr>
          <w:lang w:val="en-NZ"/>
        </w:rPr>
        <w:t>During 2009 seven</w:t>
      </w:r>
      <w:r w:rsidR="009C3B51" w:rsidRPr="009C3B51">
        <w:rPr>
          <w:lang w:val="en-NZ"/>
        </w:rPr>
        <w:t xml:space="preserve"> different trainee trainers were involved in 24 attachments in 16 different basic observer courses carried out in PNG, Vanuatu, Marshall Islands, Solomon Islands, Kiribati, Fiji, FSM and Hawaii.</w:t>
      </w:r>
    </w:p>
    <w:p w:rsidR="009C3B51" w:rsidRPr="009C3B51" w:rsidRDefault="009C3B51" w:rsidP="009C3B51">
      <w:pPr>
        <w:tabs>
          <w:tab w:val="left" w:pos="-720"/>
          <w:tab w:val="left" w:pos="2835"/>
        </w:tabs>
        <w:suppressAutoHyphens/>
        <w:rPr>
          <w:lang w:val="en-NZ"/>
        </w:rPr>
      </w:pPr>
    </w:p>
    <w:p w:rsidR="009C3B51" w:rsidRPr="009C3B51" w:rsidRDefault="009C3B51" w:rsidP="009C3B51">
      <w:pPr>
        <w:tabs>
          <w:tab w:val="left" w:pos="-720"/>
          <w:tab w:val="left" w:pos="2835"/>
        </w:tabs>
        <w:suppressAutoHyphens/>
        <w:rPr>
          <w:lang w:val="en-NZ"/>
        </w:rPr>
      </w:pPr>
      <w:r w:rsidRPr="009C3B51">
        <w:rPr>
          <w:lang w:val="en-NZ"/>
        </w:rPr>
        <w:t>At these training courses OFP scientific technicians presented training in biological samples using enhanced training materials that corresponded to the PIRFO modules developed for this aspect of the observer training.</w:t>
      </w:r>
    </w:p>
    <w:p w:rsidR="009C3B51" w:rsidRPr="009C3B51" w:rsidRDefault="009C3B51" w:rsidP="009C3B51">
      <w:pPr>
        <w:tabs>
          <w:tab w:val="left" w:pos="-720"/>
          <w:tab w:val="left" w:pos="2835"/>
        </w:tabs>
        <w:suppressAutoHyphens/>
        <w:rPr>
          <w:lang w:val="en-NZ"/>
        </w:rPr>
      </w:pPr>
    </w:p>
    <w:p w:rsidR="009C3B51" w:rsidRPr="009C3B51" w:rsidRDefault="009C3B51" w:rsidP="009C3B51">
      <w:pPr>
        <w:tabs>
          <w:tab w:val="left" w:pos="-720"/>
          <w:tab w:val="left" w:pos="2835"/>
        </w:tabs>
        <w:suppressAutoHyphens/>
        <w:rPr>
          <w:lang w:val="en-NZ"/>
        </w:rPr>
      </w:pPr>
      <w:r w:rsidRPr="009C3B51">
        <w:rPr>
          <w:lang w:val="en-NZ"/>
        </w:rPr>
        <w:t xml:space="preserve">Trainers and trainee </w:t>
      </w:r>
      <w:proofErr w:type="gramStart"/>
      <w:r w:rsidRPr="009C3B51">
        <w:rPr>
          <w:lang w:val="en-NZ"/>
        </w:rPr>
        <w:t>trainers</w:t>
      </w:r>
      <w:proofErr w:type="gramEnd"/>
      <w:r w:rsidRPr="009C3B51">
        <w:rPr>
          <w:lang w:val="en-NZ"/>
        </w:rPr>
        <w:t xml:space="preserve"> attachments developed teaching and assessment materials during regular training activities throughout 2009.</w:t>
      </w:r>
    </w:p>
    <w:p w:rsidR="009C3B51" w:rsidRPr="009C3B51" w:rsidRDefault="009C3B51" w:rsidP="009C3B51">
      <w:pPr>
        <w:tabs>
          <w:tab w:val="left" w:pos="-720"/>
          <w:tab w:val="left" w:pos="2835"/>
        </w:tabs>
        <w:suppressAutoHyphens/>
        <w:rPr>
          <w:lang w:val="en-NZ"/>
        </w:rPr>
      </w:pPr>
    </w:p>
    <w:p w:rsidR="009C3B51" w:rsidRPr="009C3B51" w:rsidRDefault="009C3B51" w:rsidP="009C3B51">
      <w:pPr>
        <w:rPr>
          <w:lang w:val="en-NZ"/>
        </w:rPr>
      </w:pPr>
    </w:p>
    <w:p w:rsidR="00DE748B" w:rsidRDefault="009C3B51" w:rsidP="009C3B51">
      <w:pPr>
        <w:rPr>
          <w:lang w:val="en-NZ"/>
        </w:rPr>
      </w:pPr>
      <w:r w:rsidRPr="009C3B51">
        <w:rPr>
          <w:lang w:val="en-NZ"/>
        </w:rPr>
        <w:lastRenderedPageBreak/>
        <w:t>Due to the doubling of training requirements over those originally planned for in 2009 not all of the other PIRFO goals for this year were met.  The most notable omission was work to ensure that observer data quality is improved.  The 2009 plan included:</w:t>
      </w:r>
    </w:p>
    <w:p w:rsidR="009C3B51" w:rsidRPr="009C3B51" w:rsidRDefault="009C3B51" w:rsidP="009C3B51">
      <w:pPr>
        <w:rPr>
          <w:lang w:val="en-NZ"/>
        </w:rPr>
      </w:pPr>
      <w:r w:rsidRPr="009C3B51">
        <w:rPr>
          <w:lang w:val="en-NZ"/>
        </w:rPr>
        <w:t xml:space="preserve"> </w:t>
      </w:r>
    </w:p>
    <w:p w:rsidR="009C3B51" w:rsidRPr="009C3B51" w:rsidRDefault="009C3B51" w:rsidP="009C3B51">
      <w:pPr>
        <w:numPr>
          <w:ilvl w:val="0"/>
          <w:numId w:val="5"/>
        </w:numPr>
        <w:rPr>
          <w:lang w:val="en-NZ"/>
        </w:rPr>
      </w:pPr>
      <w:r w:rsidRPr="009C3B51">
        <w:rPr>
          <w:lang w:val="en-NZ"/>
        </w:rPr>
        <w:t>A data quality workshop for proposed National Debriefer Certifiers</w:t>
      </w:r>
    </w:p>
    <w:p w:rsidR="009C3B51" w:rsidRPr="009C3B51" w:rsidRDefault="009C3B51" w:rsidP="009C3B51">
      <w:pPr>
        <w:numPr>
          <w:ilvl w:val="1"/>
          <w:numId w:val="5"/>
        </w:numPr>
        <w:rPr>
          <w:lang w:val="en-NZ"/>
        </w:rPr>
      </w:pPr>
      <w:r w:rsidRPr="009C3B51">
        <w:rPr>
          <w:lang w:val="en-NZ"/>
        </w:rPr>
        <w:t xml:space="preserve">to include communication skills (focused on interview techniques) </w:t>
      </w:r>
    </w:p>
    <w:p w:rsidR="009C3B51" w:rsidRPr="009C3B51" w:rsidRDefault="009C3B51" w:rsidP="009C3B51">
      <w:pPr>
        <w:numPr>
          <w:ilvl w:val="0"/>
          <w:numId w:val="5"/>
        </w:numPr>
        <w:rPr>
          <w:lang w:val="en-NZ"/>
        </w:rPr>
      </w:pPr>
      <w:r w:rsidRPr="009C3B51">
        <w:rPr>
          <w:lang w:val="en-NZ"/>
        </w:rPr>
        <w:t xml:space="preserve">Workshop participants to subsequently assume role as National Debriefer Certifiers </w:t>
      </w:r>
    </w:p>
    <w:p w:rsidR="009C3B51" w:rsidRPr="009C3B51" w:rsidRDefault="009C3B51" w:rsidP="009C3B51">
      <w:pPr>
        <w:numPr>
          <w:ilvl w:val="1"/>
          <w:numId w:val="5"/>
        </w:numPr>
        <w:rPr>
          <w:lang w:val="en-NZ"/>
        </w:rPr>
      </w:pPr>
      <w:r w:rsidRPr="009C3B51">
        <w:rPr>
          <w:lang w:val="en-NZ"/>
        </w:rPr>
        <w:t>to be based on the quality of existing work by ‘Acting Debriefers’</w:t>
      </w:r>
    </w:p>
    <w:p w:rsidR="009C3B51" w:rsidRPr="009C3B51" w:rsidRDefault="009C3B51" w:rsidP="009C3B51">
      <w:pPr>
        <w:numPr>
          <w:ilvl w:val="0"/>
          <w:numId w:val="16"/>
        </w:numPr>
        <w:rPr>
          <w:lang w:val="en-NZ"/>
        </w:rPr>
      </w:pPr>
      <w:r w:rsidRPr="009C3B51">
        <w:rPr>
          <w:lang w:val="en-NZ"/>
        </w:rPr>
        <w:t>Enhanced recognition of data quality management through the debriefing process and debriefing documentation</w:t>
      </w:r>
    </w:p>
    <w:p w:rsidR="009C3B51" w:rsidRPr="009C3B51" w:rsidRDefault="009C3B51" w:rsidP="009C3B51">
      <w:pPr>
        <w:numPr>
          <w:ilvl w:val="0"/>
          <w:numId w:val="16"/>
        </w:numPr>
        <w:rPr>
          <w:lang w:val="en-NZ"/>
        </w:rPr>
      </w:pPr>
      <w:r w:rsidRPr="009C3B51">
        <w:rPr>
          <w:lang w:val="en-NZ"/>
        </w:rPr>
        <w:t>Developing and implementing a debriefing audit function</w:t>
      </w:r>
    </w:p>
    <w:p w:rsidR="009C3B51" w:rsidRPr="009C3B51" w:rsidRDefault="009C3B51" w:rsidP="009C3B51">
      <w:pPr>
        <w:numPr>
          <w:ilvl w:val="0"/>
          <w:numId w:val="16"/>
        </w:numPr>
        <w:rPr>
          <w:lang w:val="en-NZ"/>
        </w:rPr>
      </w:pPr>
      <w:r w:rsidRPr="009C3B51">
        <w:rPr>
          <w:lang w:val="en-NZ"/>
        </w:rPr>
        <w:t>Further development of the observer data management system to capture data quality attributes generated through debriefing.</w:t>
      </w:r>
    </w:p>
    <w:p w:rsidR="009C3B51" w:rsidRPr="009C3B51" w:rsidRDefault="009C3B51" w:rsidP="009C3B51">
      <w:pPr>
        <w:rPr>
          <w:lang w:val="en-NZ"/>
        </w:rPr>
      </w:pPr>
    </w:p>
    <w:p w:rsidR="009C3B51" w:rsidRPr="009C3B51" w:rsidRDefault="009C3B51" w:rsidP="009C3B51">
      <w:pPr>
        <w:rPr>
          <w:lang w:val="en-NZ"/>
        </w:rPr>
      </w:pPr>
      <w:r w:rsidRPr="009C3B51">
        <w:rPr>
          <w:lang w:val="en-NZ"/>
        </w:rPr>
        <w:t>To ensure that the vast amounts of data now being generated by the current three-fold increase (over the past two years) in observer numbers in our region is not wasted, this work is now vital.</w:t>
      </w:r>
    </w:p>
    <w:p w:rsidR="009C3B51" w:rsidRDefault="009C3B51" w:rsidP="009C3B51">
      <w:pPr>
        <w:rPr>
          <w:lang w:val="en-NZ"/>
        </w:rPr>
      </w:pPr>
    </w:p>
    <w:p w:rsidR="002B4275" w:rsidRPr="009C3B51" w:rsidRDefault="002B4275" w:rsidP="009C3B51">
      <w:pPr>
        <w:rPr>
          <w:lang w:val="en-NZ"/>
        </w:rPr>
      </w:pPr>
    </w:p>
    <w:p w:rsidR="009C3B51" w:rsidRPr="009C3B51" w:rsidRDefault="00DE748B" w:rsidP="009C3B51">
      <w:pPr>
        <w:pStyle w:val="Heading1"/>
        <w:rPr>
          <w:bCs w:val="0"/>
          <w:kern w:val="0"/>
          <w:sz w:val="22"/>
          <w:szCs w:val="22"/>
          <w:lang w:val="en-NZ"/>
        </w:rPr>
      </w:pPr>
      <w:r>
        <w:rPr>
          <w:bCs w:val="0"/>
          <w:kern w:val="0"/>
          <w:sz w:val="22"/>
          <w:szCs w:val="22"/>
          <w:lang w:val="en-NZ"/>
        </w:rPr>
        <w:t>Work proposed for 2010 and Outcomes</w:t>
      </w:r>
    </w:p>
    <w:p w:rsidR="009C3B51" w:rsidRPr="009C3B51" w:rsidRDefault="009C3B51" w:rsidP="009C3B51">
      <w:pPr>
        <w:rPr>
          <w:lang w:val="en-NZ"/>
        </w:rPr>
      </w:pPr>
    </w:p>
    <w:p w:rsidR="009C3B51" w:rsidRDefault="009C3B51" w:rsidP="009C3B51">
      <w:pPr>
        <w:rPr>
          <w:lang w:val="en-NZ"/>
        </w:rPr>
      </w:pPr>
      <w:r w:rsidRPr="009C3B51">
        <w:rPr>
          <w:lang w:val="en-NZ"/>
        </w:rPr>
        <w:t>Work on expanding the scope of the SPC and FFA developed PIRFO CBT standards to ensure Pacific Island training observer programmes, training institutions and Observer Trainers will have appropriate skills and provide appropriate training environments to meet WCPFC observer data provision obligations must continue.  New training tools are required to address the expanding role that observers inherit wit</w:t>
      </w:r>
      <w:r w:rsidR="00BC2B2A">
        <w:rPr>
          <w:lang w:val="en-NZ"/>
        </w:rPr>
        <w:t xml:space="preserve">h many of the new CMMs that </w:t>
      </w:r>
      <w:r w:rsidRPr="009C3B51">
        <w:rPr>
          <w:lang w:val="en-NZ"/>
        </w:rPr>
        <w:t xml:space="preserve">WCPFC </w:t>
      </w:r>
      <w:r w:rsidR="00BC2B2A">
        <w:rPr>
          <w:lang w:val="en-NZ"/>
        </w:rPr>
        <w:t xml:space="preserve">members are agreeing to and </w:t>
      </w:r>
      <w:r w:rsidRPr="009C3B51">
        <w:rPr>
          <w:lang w:val="en-NZ"/>
        </w:rPr>
        <w:t xml:space="preserve">there must be processes in place such that there can be greater confidence in the quality of observer competencies – new and old – and subsequently the data generated from observer activities.    </w:t>
      </w:r>
    </w:p>
    <w:p w:rsidR="00DE748B" w:rsidRDefault="00DE748B" w:rsidP="009C3B51">
      <w:pPr>
        <w:rPr>
          <w:lang w:val="en-NZ"/>
        </w:rPr>
      </w:pPr>
    </w:p>
    <w:p w:rsidR="002B4275" w:rsidRPr="009C3B51" w:rsidRDefault="002B4275" w:rsidP="009C3B51">
      <w:pPr>
        <w:rPr>
          <w:lang w:val="en-NZ"/>
        </w:rPr>
      </w:pPr>
    </w:p>
    <w:p w:rsidR="009C3B51" w:rsidRDefault="009C3B51" w:rsidP="00BC2B2A">
      <w:pPr>
        <w:rPr>
          <w:lang w:val="en-NZ"/>
        </w:rPr>
      </w:pPr>
      <w:r w:rsidRPr="009C3B51">
        <w:rPr>
          <w:lang w:val="en-NZ"/>
        </w:rPr>
        <w:t>The major focus for this project in 2009 wil</w:t>
      </w:r>
      <w:r w:rsidR="00BC2B2A">
        <w:rPr>
          <w:lang w:val="en-NZ"/>
        </w:rPr>
        <w:t>l be to r</w:t>
      </w:r>
      <w:r w:rsidRPr="009C3B51">
        <w:rPr>
          <w:lang w:val="en-NZ"/>
        </w:rPr>
        <w:t xml:space="preserve">efine CBT standards for Observer Trainers and further develop the regional pool of certified capable Observer Trainers with further attachments for current trainee Observer Trainers and commencing the development of </w:t>
      </w:r>
      <w:r w:rsidR="00BC2B2A">
        <w:rPr>
          <w:lang w:val="en-NZ"/>
        </w:rPr>
        <w:t>three</w:t>
      </w:r>
      <w:r w:rsidRPr="009C3B51">
        <w:rPr>
          <w:lang w:val="en-NZ"/>
        </w:rPr>
        <w:t xml:space="preserve"> </w:t>
      </w:r>
      <w:r w:rsidR="00BC2B2A">
        <w:rPr>
          <w:lang w:val="en-NZ"/>
        </w:rPr>
        <w:t xml:space="preserve">additional candidates.  </w:t>
      </w:r>
      <w:r w:rsidR="00BC2B2A">
        <w:t>For most Observer Trainers the process will take over a year with a minimum of six training attachments, as per the PIRFO Training Standards for Observer Trainers, before they are confidently and consistently delivering training and assessing the competencies of their trainees.</w:t>
      </w:r>
    </w:p>
    <w:p w:rsidR="00BC2B2A" w:rsidRDefault="00BC2B2A" w:rsidP="00BC2B2A">
      <w:pPr>
        <w:rPr>
          <w:lang w:val="en-NZ"/>
        </w:rPr>
      </w:pPr>
    </w:p>
    <w:p w:rsidR="002B4275" w:rsidRPr="009C3B51" w:rsidRDefault="002B4275" w:rsidP="00BC2B2A">
      <w:pPr>
        <w:rPr>
          <w:lang w:val="en-NZ"/>
        </w:rPr>
      </w:pPr>
    </w:p>
    <w:p w:rsidR="009C3B51" w:rsidRDefault="009C3B51" w:rsidP="009C3B51">
      <w:pPr>
        <w:rPr>
          <w:lang w:val="en-NZ"/>
        </w:rPr>
      </w:pPr>
      <w:r w:rsidRPr="009C3B51">
        <w:rPr>
          <w:lang w:val="en-NZ"/>
        </w:rPr>
        <w:t>As trainers build their recognised competencies the basic observer training role of SPC and FFA will progressively shift from extensive training to support, accreditation and auditing.  It is important that the observer certification in Pacific Island countries is internationally recognised and a significant aspect of this is also to have the training and trainers accredited.  Further work will be required to ensure that a suitable process is in place to properly carry out auditing.</w:t>
      </w:r>
    </w:p>
    <w:p w:rsidR="00CB1BA6" w:rsidRPr="009C3B51" w:rsidRDefault="00CB1BA6" w:rsidP="009C3B51">
      <w:pPr>
        <w:rPr>
          <w:lang w:val="en-NZ"/>
        </w:rPr>
      </w:pPr>
    </w:p>
    <w:p w:rsidR="009C3B51" w:rsidRDefault="009C3B51" w:rsidP="009C3B51">
      <w:pPr>
        <w:rPr>
          <w:lang w:val="en-NZ"/>
        </w:rPr>
      </w:pPr>
      <w:r w:rsidRPr="009C3B51">
        <w:rPr>
          <w:lang w:val="en-NZ"/>
        </w:rPr>
        <w:t>It is expected that this work will continue well past the next 12 months but for 2010 we seek assistanc</w:t>
      </w:r>
      <w:r w:rsidR="00CB1BA6">
        <w:rPr>
          <w:lang w:val="en-NZ"/>
        </w:rPr>
        <w:t>e for the following components.</w:t>
      </w:r>
    </w:p>
    <w:p w:rsidR="00BC2B2A" w:rsidRPr="009C3B51" w:rsidRDefault="00BC2B2A" w:rsidP="009C3B51">
      <w:pPr>
        <w:rPr>
          <w:lang w:val="en-NZ"/>
        </w:rPr>
      </w:pPr>
    </w:p>
    <w:p w:rsidR="00CB1BA6" w:rsidRPr="00CB1BA6" w:rsidRDefault="00CB1BA6" w:rsidP="009C3B51">
      <w:pPr>
        <w:numPr>
          <w:ilvl w:val="0"/>
          <w:numId w:val="20"/>
        </w:numPr>
        <w:spacing w:after="120"/>
        <w:jc w:val="both"/>
        <w:rPr>
          <w:b/>
          <w:i/>
          <w:szCs w:val="22"/>
          <w:lang w:val="en-NZ"/>
        </w:rPr>
      </w:pPr>
      <w:r w:rsidRPr="00CB1BA6">
        <w:rPr>
          <w:b/>
          <w:i/>
          <w:sz w:val="22"/>
          <w:szCs w:val="22"/>
        </w:rPr>
        <w:lastRenderedPageBreak/>
        <w:t>Developing a pool of certified regional observer trainers</w:t>
      </w:r>
    </w:p>
    <w:p w:rsidR="009C3B51" w:rsidRDefault="009C3B51" w:rsidP="00CB1BA6">
      <w:pPr>
        <w:spacing w:after="120"/>
        <w:ind w:left="360"/>
        <w:jc w:val="both"/>
        <w:rPr>
          <w:szCs w:val="22"/>
          <w:lang w:val="en-NZ"/>
        </w:rPr>
      </w:pPr>
      <w:r w:rsidRPr="00CB1BA6">
        <w:rPr>
          <w:lang w:val="en-NZ"/>
        </w:rPr>
        <w:t xml:space="preserve">To build the pool of nationally-based Observer Trainers available to the PIRFO region 3 more places will be offered to suitable candidates to attend up to six PIRFO basic observer training courses each, as trainee Observer Trainer attachments.  Such active hands-on participation develops PIRFO CBT training skills </w:t>
      </w:r>
      <w:r w:rsidR="00CB1BA6" w:rsidRPr="00CB1BA6">
        <w:rPr>
          <w:lang w:val="en-NZ"/>
        </w:rPr>
        <w:t xml:space="preserve">and </w:t>
      </w:r>
      <w:r w:rsidRPr="00CB1BA6">
        <w:rPr>
          <w:lang w:val="en-NZ"/>
        </w:rPr>
        <w:t>meets the recently developed PIRFO standard for certification of Observer Trainers.</w:t>
      </w:r>
      <w:r w:rsidR="00CB1BA6" w:rsidRPr="00CB1BA6">
        <w:rPr>
          <w:lang w:val="en-NZ"/>
        </w:rPr>
        <w:t xml:space="preserve">  </w:t>
      </w:r>
      <w:r w:rsidR="00CB1BA6">
        <w:rPr>
          <w:lang w:val="en-NZ"/>
        </w:rPr>
        <w:t xml:space="preserve">The three trainees will receive </w:t>
      </w:r>
      <w:r w:rsidRPr="00CB1BA6">
        <w:rPr>
          <w:lang w:val="en-NZ"/>
        </w:rPr>
        <w:t xml:space="preserve">Certificate level </w:t>
      </w:r>
      <w:r w:rsidR="00CB1BA6">
        <w:rPr>
          <w:lang w:val="en-NZ"/>
        </w:rPr>
        <w:t>IV</w:t>
      </w:r>
      <w:r w:rsidRPr="00CB1BA6">
        <w:rPr>
          <w:lang w:val="en-NZ"/>
        </w:rPr>
        <w:t xml:space="preserve"> training</w:t>
      </w:r>
      <w:r w:rsidR="00CB1BA6">
        <w:rPr>
          <w:lang w:val="en-NZ"/>
        </w:rPr>
        <w:t xml:space="preserve">, as required </w:t>
      </w:r>
      <w:r w:rsidRPr="00CB1BA6">
        <w:rPr>
          <w:szCs w:val="22"/>
          <w:lang w:val="en-NZ"/>
        </w:rPr>
        <w:t>in the PIRFO CBT standards for Observer Trainers</w:t>
      </w:r>
    </w:p>
    <w:p w:rsidR="00CB1BA6" w:rsidRDefault="00CB1BA6" w:rsidP="00CB1BA6">
      <w:pPr>
        <w:spacing w:after="120"/>
        <w:ind w:left="360"/>
        <w:jc w:val="both"/>
        <w:rPr>
          <w:szCs w:val="22"/>
          <w:lang w:val="en-NZ"/>
        </w:rPr>
      </w:pPr>
    </w:p>
    <w:p w:rsidR="00CB1BA6" w:rsidRPr="00CB1BA6" w:rsidRDefault="00CB1BA6" w:rsidP="00CB1BA6">
      <w:pPr>
        <w:spacing w:after="120"/>
        <w:ind w:left="360"/>
        <w:jc w:val="both"/>
        <w:rPr>
          <w:szCs w:val="22"/>
          <w:lang w:val="en-NZ"/>
        </w:rPr>
      </w:pPr>
      <w:r>
        <w:rPr>
          <w:b/>
          <w:szCs w:val="22"/>
          <w:lang w:val="en-NZ"/>
        </w:rPr>
        <w:t>Outcome</w:t>
      </w:r>
      <w:r>
        <w:rPr>
          <w:szCs w:val="22"/>
          <w:lang w:val="en-NZ"/>
        </w:rPr>
        <w:t>:</w:t>
      </w:r>
      <w:r>
        <w:rPr>
          <w:szCs w:val="22"/>
          <w:lang w:val="en-NZ"/>
        </w:rPr>
        <w:tab/>
        <w:t>Three additional fully trained national observer trainers to conduct national and sub-regional observer training.</w:t>
      </w:r>
    </w:p>
    <w:p w:rsidR="00CB1BA6" w:rsidRPr="00CB1BA6" w:rsidRDefault="00CB1BA6" w:rsidP="00CB1BA6">
      <w:pPr>
        <w:spacing w:after="120"/>
        <w:jc w:val="both"/>
        <w:rPr>
          <w:szCs w:val="22"/>
          <w:lang w:val="en-NZ"/>
        </w:rPr>
      </w:pPr>
    </w:p>
    <w:p w:rsidR="00CB1BA6" w:rsidRPr="00CB1BA6" w:rsidRDefault="00CB1BA6" w:rsidP="009C3B51">
      <w:pPr>
        <w:numPr>
          <w:ilvl w:val="0"/>
          <w:numId w:val="20"/>
        </w:numPr>
        <w:spacing w:after="120"/>
        <w:jc w:val="both"/>
        <w:rPr>
          <w:b/>
          <w:i/>
          <w:szCs w:val="22"/>
          <w:lang w:val="en-NZ"/>
        </w:rPr>
      </w:pPr>
      <w:r w:rsidRPr="00CB1BA6">
        <w:rPr>
          <w:b/>
          <w:i/>
          <w:sz w:val="22"/>
          <w:szCs w:val="22"/>
        </w:rPr>
        <w:t>Development of Observer Training Course Resource Materials</w:t>
      </w:r>
    </w:p>
    <w:p w:rsidR="009C3B51" w:rsidRPr="009C3B51" w:rsidRDefault="00CB1BA6" w:rsidP="00CB1BA6">
      <w:pPr>
        <w:spacing w:after="120"/>
        <w:ind w:left="360"/>
        <w:jc w:val="both"/>
        <w:rPr>
          <w:szCs w:val="22"/>
          <w:lang w:val="en-NZ"/>
        </w:rPr>
      </w:pPr>
      <w:r>
        <w:rPr>
          <w:szCs w:val="22"/>
          <w:lang w:val="en-NZ"/>
        </w:rPr>
        <w:t xml:space="preserve">A </w:t>
      </w:r>
      <w:r w:rsidR="009C3B51" w:rsidRPr="009C3B51">
        <w:rPr>
          <w:szCs w:val="22"/>
          <w:lang w:val="en-NZ"/>
        </w:rPr>
        <w:t>Training Consultant</w:t>
      </w:r>
      <w:r>
        <w:rPr>
          <w:szCs w:val="22"/>
          <w:lang w:val="en-NZ"/>
        </w:rPr>
        <w:t xml:space="preserve"> will, during a period of 50 days</w:t>
      </w:r>
      <w:r w:rsidR="009C3B51" w:rsidRPr="009C3B51">
        <w:rPr>
          <w:szCs w:val="22"/>
          <w:lang w:val="en-NZ"/>
        </w:rPr>
        <w:t>:</w:t>
      </w:r>
    </w:p>
    <w:p w:rsidR="009C3B51" w:rsidRPr="009C3B51" w:rsidRDefault="00CB1BA6" w:rsidP="00CB1BA6">
      <w:pPr>
        <w:numPr>
          <w:ilvl w:val="0"/>
          <w:numId w:val="23"/>
        </w:numPr>
        <w:tabs>
          <w:tab w:val="num" w:pos="851"/>
        </w:tabs>
        <w:spacing w:after="120"/>
        <w:ind w:left="851" w:hanging="284"/>
        <w:jc w:val="both"/>
        <w:rPr>
          <w:lang w:val="en-NZ"/>
        </w:rPr>
      </w:pPr>
      <w:r>
        <w:rPr>
          <w:lang w:val="en-NZ"/>
        </w:rPr>
        <w:t>I</w:t>
      </w:r>
      <w:r w:rsidR="009C3B51" w:rsidRPr="009C3B51">
        <w:rPr>
          <w:lang w:val="en-NZ"/>
        </w:rPr>
        <w:t>dentify gaps or inadequacies in current teaching materials for each PIRFO module and locate tools that can be adapted to suitably address those needs in our region and/or design such tools.  These tools will be presented as ‘Trainers Guides’ with acc</w:t>
      </w:r>
      <w:r>
        <w:rPr>
          <w:lang w:val="en-NZ"/>
        </w:rPr>
        <w:t>ompanying  reference materials,</w:t>
      </w:r>
      <w:r w:rsidR="009C3B51" w:rsidRPr="009C3B51">
        <w:rPr>
          <w:lang w:val="en-NZ"/>
        </w:rPr>
        <w:t xml:space="preserve"> written or otherwise; </w:t>
      </w:r>
      <w:r>
        <w:rPr>
          <w:lang w:val="en-NZ"/>
        </w:rPr>
        <w:t>and</w:t>
      </w:r>
    </w:p>
    <w:p w:rsidR="009C3B51" w:rsidRDefault="00CB1BA6" w:rsidP="00CB1BA6">
      <w:pPr>
        <w:numPr>
          <w:ilvl w:val="0"/>
          <w:numId w:val="23"/>
        </w:numPr>
        <w:tabs>
          <w:tab w:val="num" w:pos="851"/>
        </w:tabs>
        <w:spacing w:after="120"/>
        <w:ind w:left="851" w:hanging="284"/>
        <w:jc w:val="both"/>
        <w:rPr>
          <w:lang w:val="en-NZ"/>
        </w:rPr>
      </w:pPr>
      <w:r>
        <w:rPr>
          <w:lang w:val="en-NZ"/>
        </w:rPr>
        <w:t>R</w:t>
      </w:r>
      <w:r w:rsidR="009C3B51" w:rsidRPr="009C3B51">
        <w:rPr>
          <w:lang w:val="en-NZ"/>
        </w:rPr>
        <w:t xml:space="preserve">efine CBT standards for debriefers and observer trainers, in attendance with appropriate workshops </w:t>
      </w:r>
    </w:p>
    <w:p w:rsidR="00CB1BA6" w:rsidRDefault="00CB1BA6" w:rsidP="00CB1BA6">
      <w:pPr>
        <w:spacing w:after="120"/>
        <w:jc w:val="both"/>
        <w:rPr>
          <w:lang w:val="en-NZ"/>
        </w:rPr>
      </w:pPr>
    </w:p>
    <w:p w:rsidR="002B4275" w:rsidRDefault="00CB1BA6" w:rsidP="002B4275">
      <w:pPr>
        <w:spacing w:after="120"/>
        <w:ind w:left="360"/>
        <w:jc w:val="both"/>
        <w:rPr>
          <w:szCs w:val="22"/>
          <w:lang w:val="en-NZ"/>
        </w:rPr>
      </w:pPr>
      <w:r w:rsidRPr="002B4275">
        <w:rPr>
          <w:b/>
          <w:szCs w:val="22"/>
          <w:lang w:val="en-NZ"/>
        </w:rPr>
        <w:t>Outcome</w:t>
      </w:r>
      <w:r w:rsidR="002B4275">
        <w:rPr>
          <w:szCs w:val="22"/>
          <w:lang w:val="en-NZ"/>
        </w:rPr>
        <w:t>:</w:t>
      </w:r>
      <w:r w:rsidR="002B4275">
        <w:rPr>
          <w:szCs w:val="22"/>
          <w:lang w:val="en-NZ"/>
        </w:rPr>
        <w:tab/>
        <w:t>A report of the review of teaching materials and CBT standards and ‘Trainers Guides’ will be developed by the consultant.</w:t>
      </w:r>
    </w:p>
    <w:p w:rsidR="002B4275" w:rsidRPr="002B4275" w:rsidRDefault="002B4275" w:rsidP="002B4275">
      <w:pPr>
        <w:tabs>
          <w:tab w:val="left" w:pos="-720"/>
          <w:tab w:val="left" w:pos="2835"/>
        </w:tabs>
        <w:suppressAutoHyphens/>
        <w:rPr>
          <w:sz w:val="22"/>
          <w:szCs w:val="22"/>
          <w:lang w:val="en-NZ"/>
        </w:rPr>
      </w:pPr>
    </w:p>
    <w:p w:rsidR="002B4275" w:rsidRPr="00CB1BA6" w:rsidRDefault="002B4275" w:rsidP="002B4275">
      <w:pPr>
        <w:numPr>
          <w:ilvl w:val="0"/>
          <w:numId w:val="20"/>
        </w:numPr>
        <w:spacing w:after="120"/>
        <w:jc w:val="both"/>
        <w:rPr>
          <w:b/>
          <w:i/>
          <w:szCs w:val="22"/>
          <w:lang w:val="en-NZ"/>
        </w:rPr>
      </w:pPr>
      <w:r w:rsidRPr="00E63220">
        <w:rPr>
          <w:b/>
          <w:i/>
          <w:sz w:val="22"/>
          <w:szCs w:val="22"/>
          <w:lang w:val="en-NZ"/>
        </w:rPr>
        <w:t xml:space="preserve"> </w:t>
      </w:r>
      <w:r w:rsidRPr="00E63220">
        <w:rPr>
          <w:b/>
          <w:i/>
          <w:sz w:val="22"/>
          <w:szCs w:val="22"/>
        </w:rPr>
        <w:t>PIRFO Certification Management Committee</w:t>
      </w:r>
      <w:r w:rsidRPr="00CB1BA6">
        <w:rPr>
          <w:b/>
          <w:i/>
          <w:sz w:val="22"/>
          <w:szCs w:val="22"/>
        </w:rPr>
        <w:t xml:space="preserve"> </w:t>
      </w:r>
    </w:p>
    <w:p w:rsidR="002B4275" w:rsidRPr="002B4275" w:rsidRDefault="009C3B51" w:rsidP="002B4275">
      <w:pPr>
        <w:tabs>
          <w:tab w:val="left" w:pos="-720"/>
          <w:tab w:val="left" w:pos="2835"/>
        </w:tabs>
        <w:suppressAutoHyphens/>
        <w:jc w:val="both"/>
        <w:rPr>
          <w:lang w:val="en-NZ"/>
        </w:rPr>
      </w:pPr>
      <w:r w:rsidRPr="009C3B51">
        <w:rPr>
          <w:lang w:val="en-NZ"/>
        </w:rPr>
        <w:t>To ensure ownership of the PIRFO standards by Pacific Island members of SPC and FFA is properly recognised and the auditing functions within the ‘PIRFO Certification and Training Policy Manual’ there needs to be a transition of the PIRFO Certification Working Group to the PIRFO Certification Management Committ</w:t>
      </w:r>
      <w:r w:rsidR="002B4275">
        <w:rPr>
          <w:lang w:val="en-NZ"/>
        </w:rPr>
        <w:t xml:space="preserve">ee (CMC).  In 2010 </w:t>
      </w:r>
      <w:r w:rsidRPr="009C3B51">
        <w:rPr>
          <w:lang w:val="en-NZ"/>
        </w:rPr>
        <w:t>an inaugural one</w:t>
      </w:r>
      <w:r w:rsidR="002B4275">
        <w:rPr>
          <w:lang w:val="en-NZ"/>
        </w:rPr>
        <w:t>-</w:t>
      </w:r>
      <w:r w:rsidRPr="009C3B51">
        <w:rPr>
          <w:lang w:val="en-NZ"/>
        </w:rPr>
        <w:t>day committee meeting will be appended to a Regional Observer Coordinators’ Workshop (ROCW)</w:t>
      </w:r>
      <w:r w:rsidR="002B4275">
        <w:rPr>
          <w:lang w:val="en-NZ"/>
        </w:rPr>
        <w:t>, which is</w:t>
      </w:r>
      <w:r w:rsidRPr="009C3B51">
        <w:rPr>
          <w:lang w:val="en-NZ"/>
        </w:rPr>
        <w:t xml:space="preserve"> expected to be </w:t>
      </w:r>
      <w:r w:rsidR="002B4275">
        <w:rPr>
          <w:lang w:val="en-NZ"/>
        </w:rPr>
        <w:t xml:space="preserve">in </w:t>
      </w:r>
      <w:r w:rsidRPr="009C3B51">
        <w:rPr>
          <w:lang w:val="en-NZ"/>
        </w:rPr>
        <w:t xml:space="preserve">Noumea.  </w:t>
      </w:r>
      <w:r w:rsidR="002B4275" w:rsidRPr="002B4275">
        <w:rPr>
          <w:lang w:val="en-NZ"/>
        </w:rPr>
        <w:t>The CMC will comprise representation from FFA, SPC and one representative each from three Pacific Island regions of the WCPO, as prescribed in the PIRFO Certification and Training Policy Manual.</w:t>
      </w:r>
    </w:p>
    <w:p w:rsidR="002B4275" w:rsidRDefault="002B4275" w:rsidP="002B4275">
      <w:pPr>
        <w:spacing w:after="120"/>
        <w:ind w:left="360"/>
        <w:jc w:val="both"/>
        <w:rPr>
          <w:lang w:val="en-NZ"/>
        </w:rPr>
      </w:pPr>
    </w:p>
    <w:p w:rsidR="002B4275" w:rsidRDefault="002B4275" w:rsidP="002B4275">
      <w:pPr>
        <w:spacing w:after="120"/>
        <w:ind w:left="360"/>
        <w:jc w:val="both"/>
        <w:rPr>
          <w:szCs w:val="22"/>
          <w:lang w:val="en-NZ"/>
        </w:rPr>
      </w:pPr>
      <w:r w:rsidRPr="002B4275">
        <w:rPr>
          <w:b/>
          <w:szCs w:val="22"/>
          <w:lang w:val="en-NZ"/>
        </w:rPr>
        <w:t>Outcome</w:t>
      </w:r>
      <w:r>
        <w:rPr>
          <w:szCs w:val="22"/>
          <w:lang w:val="en-NZ"/>
        </w:rPr>
        <w:t>:</w:t>
      </w:r>
      <w:r>
        <w:rPr>
          <w:szCs w:val="22"/>
          <w:lang w:val="en-NZ"/>
        </w:rPr>
        <w:tab/>
        <w:t>National observer programme coordinators will share information and solve problems working in conjunction with regional trainers, debriefers and programme auditors.</w:t>
      </w:r>
    </w:p>
    <w:p w:rsidR="002B4275" w:rsidRPr="009C3B51" w:rsidRDefault="002B4275" w:rsidP="002B4275">
      <w:pPr>
        <w:spacing w:after="120"/>
        <w:ind w:left="360"/>
        <w:jc w:val="both"/>
        <w:rPr>
          <w:lang w:val="en-NZ"/>
        </w:rPr>
      </w:pPr>
    </w:p>
    <w:p w:rsidR="00AB3FF4" w:rsidRDefault="00AB3FF4" w:rsidP="009C3B51">
      <w:pPr>
        <w:rPr>
          <w:b/>
          <w:sz w:val="28"/>
          <w:szCs w:val="28"/>
          <w:lang w:val="en-NZ"/>
        </w:rPr>
      </w:pPr>
      <w:r w:rsidRPr="009C3B51">
        <w:rPr>
          <w:b/>
          <w:sz w:val="28"/>
          <w:szCs w:val="28"/>
          <w:lang w:val="en-NZ"/>
        </w:rPr>
        <w:br w:type="page"/>
      </w:r>
    </w:p>
    <w:p w:rsidR="002B4275" w:rsidRPr="009C3B51" w:rsidRDefault="002B4275" w:rsidP="009C3B51">
      <w:pPr>
        <w:rPr>
          <w:b/>
          <w:sz w:val="28"/>
          <w:szCs w:val="28"/>
          <w:lang w:val="en-NZ"/>
        </w:rPr>
      </w:pPr>
    </w:p>
    <w:p w:rsidR="006C1C82" w:rsidRPr="009C3B51" w:rsidRDefault="006C1C82">
      <w:pPr>
        <w:rPr>
          <w:b/>
          <w:sz w:val="28"/>
          <w:szCs w:val="28"/>
          <w:lang w:val="en-NZ"/>
        </w:rPr>
      </w:pPr>
      <w:r w:rsidRPr="009C3B51">
        <w:rPr>
          <w:b/>
          <w:sz w:val="28"/>
          <w:szCs w:val="28"/>
          <w:lang w:val="en-NZ"/>
        </w:rPr>
        <w:t xml:space="preserve">Budget  </w:t>
      </w:r>
    </w:p>
    <w:p w:rsidR="006C1C82" w:rsidRPr="009C3B51" w:rsidRDefault="006C1C82">
      <w:pPr>
        <w:rPr>
          <w:b/>
          <w:sz w:val="22"/>
          <w:szCs w:val="22"/>
          <w:lang w:val="en-NZ"/>
        </w:rPr>
      </w:pPr>
    </w:p>
    <w:p w:rsidR="006C1C82" w:rsidRPr="009C3B51" w:rsidRDefault="006C1C82">
      <w:pPr>
        <w:rPr>
          <w:sz w:val="22"/>
          <w:szCs w:val="22"/>
          <w:lang w:val="en-NZ"/>
        </w:rPr>
      </w:pPr>
      <w:r w:rsidRPr="009C3B51">
        <w:rPr>
          <w:sz w:val="22"/>
          <w:szCs w:val="22"/>
          <w:lang w:val="en-NZ"/>
        </w:rPr>
        <w:t>A total of $</w:t>
      </w:r>
      <w:r w:rsidR="00976913" w:rsidRPr="009C3B51">
        <w:rPr>
          <w:sz w:val="22"/>
          <w:szCs w:val="22"/>
          <w:lang w:val="en-NZ"/>
        </w:rPr>
        <w:t>141</w:t>
      </w:r>
      <w:r w:rsidRPr="009C3B51">
        <w:rPr>
          <w:sz w:val="22"/>
          <w:szCs w:val="22"/>
          <w:lang w:val="en-NZ"/>
        </w:rPr>
        <w:t>,</w:t>
      </w:r>
      <w:r w:rsidR="00976913" w:rsidRPr="009C3B51">
        <w:rPr>
          <w:sz w:val="22"/>
          <w:szCs w:val="22"/>
          <w:lang w:val="en-NZ"/>
        </w:rPr>
        <w:t>647</w:t>
      </w:r>
      <w:r w:rsidRPr="009C3B51">
        <w:rPr>
          <w:sz w:val="22"/>
          <w:szCs w:val="22"/>
          <w:lang w:val="en-NZ"/>
        </w:rPr>
        <w:t xml:space="preserve"> is requested from the JTF in 2010 to support the work outlined above. The detailed budget is as follows:</w:t>
      </w:r>
    </w:p>
    <w:p w:rsidR="006C1C82" w:rsidRPr="009C3B51" w:rsidRDefault="006C1C82">
      <w:pPr>
        <w:rPr>
          <w:b/>
          <w:sz w:val="22"/>
          <w:szCs w:val="22"/>
          <w:lang w:val="en-NZ"/>
        </w:rPr>
      </w:pPr>
    </w:p>
    <w:tbl>
      <w:tblPr>
        <w:tblW w:w="8400" w:type="dxa"/>
        <w:tblInd w:w="93" w:type="dxa"/>
        <w:tblLook w:val="04A0"/>
      </w:tblPr>
      <w:tblGrid>
        <w:gridCol w:w="7220"/>
        <w:gridCol w:w="1180"/>
      </w:tblGrid>
      <w:tr w:rsidR="00976913" w:rsidRPr="009C3B51" w:rsidTr="00976913">
        <w:trPr>
          <w:trHeight w:val="300"/>
        </w:trPr>
        <w:tc>
          <w:tcPr>
            <w:tcW w:w="7220" w:type="dxa"/>
            <w:tcBorders>
              <w:top w:val="single" w:sz="4" w:space="0" w:color="auto"/>
              <w:left w:val="nil"/>
              <w:bottom w:val="single" w:sz="4" w:space="0" w:color="auto"/>
              <w:right w:val="nil"/>
            </w:tcBorders>
            <w:shd w:val="clear" w:color="auto" w:fill="auto"/>
            <w:vAlign w:val="bottom"/>
            <w:hideMark/>
          </w:tcPr>
          <w:p w:rsidR="00976913" w:rsidRPr="009C3B51" w:rsidRDefault="00976913" w:rsidP="00976913">
            <w:pPr>
              <w:jc w:val="center"/>
              <w:rPr>
                <w:rFonts w:eastAsia="Times New Roman"/>
                <w:b/>
                <w:bCs/>
                <w:color w:val="000000"/>
                <w:sz w:val="20"/>
                <w:szCs w:val="20"/>
                <w:lang w:val="en-NZ" w:eastAsia="en-AU"/>
              </w:rPr>
            </w:pPr>
            <w:bookmarkStart w:id="1" w:name="Notesontable"/>
            <w:bookmarkEnd w:id="1"/>
            <w:r w:rsidRPr="009C3B51">
              <w:rPr>
                <w:rFonts w:eastAsia="Times New Roman"/>
                <w:b/>
                <w:bCs/>
                <w:color w:val="000000"/>
                <w:sz w:val="20"/>
                <w:szCs w:val="20"/>
                <w:lang w:val="en-NZ" w:eastAsia="en-AU"/>
              </w:rPr>
              <w:t>Item</w:t>
            </w:r>
          </w:p>
        </w:tc>
        <w:tc>
          <w:tcPr>
            <w:tcW w:w="1180" w:type="dxa"/>
            <w:tcBorders>
              <w:top w:val="single" w:sz="4" w:space="0" w:color="auto"/>
              <w:left w:val="nil"/>
              <w:bottom w:val="single" w:sz="4" w:space="0" w:color="auto"/>
              <w:right w:val="nil"/>
            </w:tcBorders>
            <w:shd w:val="clear" w:color="auto" w:fill="auto"/>
            <w:vAlign w:val="bottom"/>
            <w:hideMark/>
          </w:tcPr>
          <w:p w:rsidR="00976913" w:rsidRPr="009C3B51" w:rsidRDefault="00976913" w:rsidP="00976913">
            <w:pPr>
              <w:jc w:val="center"/>
              <w:rPr>
                <w:rFonts w:eastAsia="Times New Roman"/>
                <w:b/>
                <w:bCs/>
                <w:color w:val="000000"/>
                <w:sz w:val="20"/>
                <w:szCs w:val="20"/>
                <w:lang w:val="en-NZ" w:eastAsia="en-AU"/>
              </w:rPr>
            </w:pPr>
            <w:r w:rsidRPr="009C3B51">
              <w:rPr>
                <w:rFonts w:eastAsia="Times New Roman"/>
                <w:b/>
                <w:bCs/>
                <w:color w:val="000000"/>
                <w:sz w:val="20"/>
                <w:szCs w:val="20"/>
                <w:lang w:val="en-NZ" w:eastAsia="en-AU"/>
              </w:rPr>
              <w:t>USD</w:t>
            </w:r>
          </w:p>
        </w:tc>
      </w:tr>
      <w:tr w:rsidR="00976913" w:rsidRPr="009C3B51" w:rsidTr="00976913">
        <w:trPr>
          <w:trHeight w:val="300"/>
        </w:trPr>
        <w:tc>
          <w:tcPr>
            <w:tcW w:w="7220" w:type="dxa"/>
            <w:tcBorders>
              <w:top w:val="single" w:sz="4" w:space="0" w:color="auto"/>
              <w:left w:val="nil"/>
              <w:bottom w:val="nil"/>
              <w:right w:val="nil"/>
            </w:tcBorders>
            <w:shd w:val="clear" w:color="auto" w:fill="auto"/>
            <w:vAlign w:val="bottom"/>
            <w:hideMark/>
          </w:tcPr>
          <w:p w:rsidR="00976913" w:rsidRPr="009C3B51" w:rsidRDefault="00976913" w:rsidP="00976913">
            <w:pPr>
              <w:rPr>
                <w:rFonts w:eastAsia="Times New Roman"/>
                <w:b/>
                <w:bCs/>
                <w:color w:val="000000"/>
                <w:sz w:val="20"/>
                <w:szCs w:val="20"/>
                <w:lang w:val="en-NZ" w:eastAsia="en-AU"/>
              </w:rPr>
            </w:pPr>
            <w:r w:rsidRPr="009C3B51">
              <w:rPr>
                <w:rFonts w:eastAsia="Times New Roman"/>
                <w:b/>
                <w:bCs/>
                <w:color w:val="000000"/>
                <w:sz w:val="20"/>
                <w:szCs w:val="20"/>
                <w:lang w:val="en-NZ" w:eastAsia="en-AU"/>
              </w:rPr>
              <w:t>1. Developing a pool of certified Regional Observer Trainers</w:t>
            </w:r>
          </w:p>
        </w:tc>
        <w:tc>
          <w:tcPr>
            <w:tcW w:w="1180" w:type="dxa"/>
            <w:tcBorders>
              <w:top w:val="single" w:sz="4" w:space="0" w:color="auto"/>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623D4B">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 xml:space="preserve">Airfares – 3 persons for </w:t>
            </w:r>
            <w:r w:rsidR="00623D4B" w:rsidRPr="009C3B51">
              <w:rPr>
                <w:rFonts w:eastAsia="Times New Roman"/>
                <w:color w:val="000000"/>
                <w:sz w:val="20"/>
                <w:szCs w:val="20"/>
                <w:lang w:val="en-NZ" w:eastAsia="en-AU"/>
              </w:rPr>
              <w:t>2</w:t>
            </w:r>
            <w:r w:rsidRPr="009C3B51">
              <w:rPr>
                <w:rFonts w:eastAsia="Times New Roman"/>
                <w:color w:val="000000"/>
                <w:sz w:val="20"/>
                <w:szCs w:val="20"/>
                <w:lang w:val="en-NZ" w:eastAsia="en-AU"/>
              </w:rPr>
              <w:t xml:space="preserve"> Observer courses @ $ 3,000.00</w:t>
            </w:r>
          </w:p>
        </w:tc>
        <w:tc>
          <w:tcPr>
            <w:tcW w:w="1180" w:type="dxa"/>
            <w:tcBorders>
              <w:top w:val="nil"/>
              <w:left w:val="nil"/>
              <w:bottom w:val="nil"/>
              <w:right w:val="nil"/>
            </w:tcBorders>
            <w:shd w:val="clear" w:color="auto" w:fill="auto"/>
            <w:hideMark/>
          </w:tcPr>
          <w:p w:rsidR="00976913" w:rsidRPr="009C3B51" w:rsidRDefault="00623D4B" w:rsidP="00623D4B">
            <w:pPr>
              <w:jc w:val="right"/>
              <w:rPr>
                <w:rFonts w:eastAsia="Times New Roman"/>
                <w:color w:val="000000"/>
                <w:sz w:val="20"/>
                <w:szCs w:val="20"/>
                <w:lang w:val="en-NZ" w:eastAsia="en-AU"/>
              </w:rPr>
            </w:pPr>
            <w:r w:rsidRPr="009C3B51">
              <w:rPr>
                <w:rFonts w:eastAsia="Times New Roman"/>
                <w:color w:val="000000"/>
                <w:sz w:val="20"/>
                <w:szCs w:val="20"/>
                <w:lang w:val="en-NZ" w:eastAsia="en-AU"/>
              </w:rPr>
              <w:t>18</w:t>
            </w:r>
            <w:r w:rsidR="00976913" w:rsidRPr="009C3B51">
              <w:rPr>
                <w:rFonts w:eastAsia="Times New Roman"/>
                <w:color w:val="000000"/>
                <w:sz w:val="20"/>
                <w:szCs w:val="20"/>
                <w:lang w:val="en-NZ" w:eastAsia="en-AU"/>
              </w:rPr>
              <w:t>,000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 xml:space="preserve">DSA on attachment – 3 persons x 28 day x </w:t>
            </w:r>
            <w:r w:rsidR="00623D4B" w:rsidRPr="009C3B51">
              <w:rPr>
                <w:rFonts w:eastAsia="Times New Roman"/>
                <w:color w:val="000000"/>
                <w:sz w:val="20"/>
                <w:szCs w:val="20"/>
                <w:lang w:val="en-NZ" w:eastAsia="en-AU"/>
              </w:rPr>
              <w:t>2</w:t>
            </w:r>
            <w:r w:rsidRPr="009C3B51">
              <w:rPr>
                <w:rFonts w:eastAsia="Times New Roman"/>
                <w:color w:val="000000"/>
                <w:sz w:val="20"/>
                <w:szCs w:val="20"/>
                <w:lang w:val="en-NZ" w:eastAsia="en-AU"/>
              </w:rPr>
              <w:t xml:space="preserve"> courses @ $ 150.00</w:t>
            </w:r>
          </w:p>
        </w:tc>
        <w:tc>
          <w:tcPr>
            <w:tcW w:w="1180" w:type="dxa"/>
            <w:tcBorders>
              <w:top w:val="nil"/>
              <w:left w:val="nil"/>
              <w:bottom w:val="nil"/>
              <w:right w:val="nil"/>
            </w:tcBorders>
            <w:shd w:val="clear" w:color="auto" w:fill="auto"/>
            <w:hideMark/>
          </w:tcPr>
          <w:p w:rsidR="00976913" w:rsidRPr="009C3B51" w:rsidRDefault="00623D4B"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2</w:t>
            </w:r>
            <w:r w:rsidR="00976913" w:rsidRPr="009C3B51">
              <w:rPr>
                <w:rFonts w:eastAsia="Times New Roman"/>
                <w:color w:val="000000"/>
                <w:sz w:val="20"/>
                <w:szCs w:val="20"/>
                <w:lang w:val="en-NZ" w:eastAsia="en-AU"/>
              </w:rPr>
              <w:t>5,</w:t>
            </w:r>
            <w:r w:rsidRPr="009C3B51">
              <w:rPr>
                <w:rFonts w:eastAsia="Times New Roman"/>
                <w:color w:val="000000"/>
                <w:sz w:val="20"/>
                <w:szCs w:val="20"/>
                <w:lang w:val="en-NZ" w:eastAsia="en-AU"/>
              </w:rPr>
              <w:t>2</w:t>
            </w:r>
            <w:r w:rsidR="00976913" w:rsidRPr="009C3B51">
              <w:rPr>
                <w:rFonts w:eastAsia="Times New Roman"/>
                <w:color w:val="000000"/>
                <w:sz w:val="20"/>
                <w:szCs w:val="20"/>
                <w:lang w:val="en-NZ" w:eastAsia="en-AU"/>
              </w:rPr>
              <w:t>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623D4B">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 xml:space="preserve">DSA to/from course – 3 people x 3 days x </w:t>
            </w:r>
            <w:r w:rsidR="00623D4B" w:rsidRPr="009C3B51">
              <w:rPr>
                <w:rFonts w:eastAsia="Times New Roman"/>
                <w:color w:val="000000"/>
                <w:sz w:val="20"/>
                <w:szCs w:val="20"/>
                <w:lang w:val="en-NZ" w:eastAsia="en-AU"/>
              </w:rPr>
              <w:t>2</w:t>
            </w:r>
            <w:r w:rsidRPr="009C3B51">
              <w:rPr>
                <w:rFonts w:eastAsia="Times New Roman"/>
                <w:color w:val="000000"/>
                <w:sz w:val="20"/>
                <w:szCs w:val="20"/>
                <w:lang w:val="en-NZ" w:eastAsia="en-AU"/>
              </w:rPr>
              <w:t>courses @ $ 150.00</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4,</w:t>
            </w:r>
            <w:r w:rsidR="00623D4B" w:rsidRPr="009C3B51">
              <w:rPr>
                <w:rFonts w:eastAsia="Times New Roman"/>
                <w:color w:val="000000"/>
                <w:sz w:val="20"/>
                <w:szCs w:val="20"/>
                <w:lang w:val="en-NZ" w:eastAsia="en-AU"/>
              </w:rPr>
              <w:t>8</w:t>
            </w:r>
            <w:r w:rsidRPr="009C3B51">
              <w:rPr>
                <w:rFonts w:eastAsia="Times New Roman"/>
                <w:color w:val="000000"/>
                <w:sz w:val="20"/>
                <w:szCs w:val="20"/>
                <w:lang w:val="en-NZ" w:eastAsia="en-AU"/>
              </w:rPr>
              <w:t>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Trainee trainers support costs</w:t>
            </w:r>
          </w:p>
        </w:tc>
        <w:tc>
          <w:tcPr>
            <w:tcW w:w="1180" w:type="dxa"/>
            <w:tcBorders>
              <w:top w:val="nil"/>
              <w:left w:val="nil"/>
              <w:bottom w:val="nil"/>
              <w:right w:val="nil"/>
            </w:tcBorders>
            <w:shd w:val="clear" w:color="auto" w:fill="auto"/>
            <w:hideMark/>
          </w:tcPr>
          <w:p w:rsidR="00976913" w:rsidRPr="009C3B51" w:rsidRDefault="00623D4B"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4,</w:t>
            </w:r>
            <w:r w:rsidR="00976913" w:rsidRPr="009C3B51">
              <w:rPr>
                <w:rFonts w:eastAsia="Times New Roman"/>
                <w:color w:val="000000"/>
                <w:sz w:val="20"/>
                <w:szCs w:val="20"/>
                <w:lang w:val="en-NZ" w:eastAsia="en-AU"/>
              </w:rPr>
              <w:t>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Cert IV Train Trainer/Assessor course fees, etc @$2,000 x 6</w:t>
            </w:r>
          </w:p>
        </w:tc>
        <w:tc>
          <w:tcPr>
            <w:tcW w:w="1180" w:type="dxa"/>
            <w:tcBorders>
              <w:top w:val="nil"/>
              <w:left w:val="nil"/>
              <w:bottom w:val="nil"/>
              <w:right w:val="nil"/>
            </w:tcBorders>
            <w:shd w:val="clear" w:color="auto" w:fill="auto"/>
            <w:hideMark/>
          </w:tcPr>
          <w:p w:rsidR="00976913" w:rsidRPr="009C3B51" w:rsidRDefault="00623D4B" w:rsidP="00623D4B">
            <w:pPr>
              <w:jc w:val="right"/>
              <w:rPr>
                <w:rFonts w:eastAsia="Times New Roman"/>
                <w:color w:val="000000"/>
                <w:sz w:val="20"/>
                <w:szCs w:val="20"/>
                <w:lang w:val="en-NZ" w:eastAsia="en-AU"/>
              </w:rPr>
            </w:pPr>
            <w:r w:rsidRPr="009C3B51">
              <w:rPr>
                <w:rFonts w:eastAsia="Times New Roman"/>
                <w:color w:val="000000"/>
                <w:sz w:val="20"/>
                <w:szCs w:val="20"/>
                <w:lang w:val="en-NZ" w:eastAsia="en-AU"/>
              </w:rPr>
              <w:t>4</w:t>
            </w:r>
            <w:r w:rsidR="00976913" w:rsidRPr="009C3B51">
              <w:rPr>
                <w:rFonts w:eastAsia="Times New Roman"/>
                <w:color w:val="000000"/>
                <w:sz w:val="20"/>
                <w:szCs w:val="20"/>
                <w:lang w:val="en-NZ" w:eastAsia="en-AU"/>
              </w:rPr>
              <w:t>,000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color w:val="000000"/>
                <w:sz w:val="20"/>
                <w:szCs w:val="20"/>
                <w:lang w:val="en-NZ" w:eastAsia="en-AU"/>
              </w:rPr>
            </w:pPr>
          </w:p>
        </w:tc>
        <w:tc>
          <w:tcPr>
            <w:tcW w:w="1180" w:type="dxa"/>
            <w:tcBorders>
              <w:top w:val="nil"/>
              <w:left w:val="nil"/>
              <w:bottom w:val="nil"/>
              <w:right w:val="nil"/>
            </w:tcBorders>
            <w:shd w:val="clear" w:color="auto" w:fill="auto"/>
            <w:hideMark/>
          </w:tcPr>
          <w:p w:rsidR="00976913" w:rsidRPr="009C3B51" w:rsidRDefault="00976913" w:rsidP="00623D4B">
            <w:pPr>
              <w:jc w:val="right"/>
              <w:rPr>
                <w:rFonts w:eastAsia="Times New Roman"/>
                <w:b/>
                <w:bCs/>
                <w:color w:val="000000"/>
                <w:sz w:val="20"/>
                <w:szCs w:val="20"/>
                <w:lang w:val="en-NZ" w:eastAsia="en-AU"/>
              </w:rPr>
            </w:pPr>
            <w:r w:rsidRPr="009C3B51">
              <w:rPr>
                <w:rFonts w:eastAsia="Times New Roman"/>
                <w:b/>
                <w:bCs/>
                <w:color w:val="000000"/>
                <w:sz w:val="20"/>
                <w:szCs w:val="20"/>
                <w:lang w:val="en-NZ" w:eastAsia="en-AU"/>
              </w:rPr>
              <w:t>$</w:t>
            </w:r>
            <w:r w:rsidR="00623D4B" w:rsidRPr="009C3B51">
              <w:rPr>
                <w:rFonts w:eastAsia="Times New Roman"/>
                <w:b/>
                <w:bCs/>
                <w:color w:val="000000"/>
                <w:sz w:val="20"/>
                <w:szCs w:val="20"/>
                <w:lang w:val="en-NZ" w:eastAsia="en-AU"/>
              </w:rPr>
              <w:t>5</w:t>
            </w:r>
            <w:r w:rsidRPr="009C3B51">
              <w:rPr>
                <w:rFonts w:eastAsia="Times New Roman"/>
                <w:b/>
                <w:bCs/>
                <w:color w:val="000000"/>
                <w:sz w:val="20"/>
                <w:szCs w:val="20"/>
                <w:lang w:val="en-NZ" w:eastAsia="en-AU"/>
              </w:rPr>
              <w:t>6,000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b/>
                <w:bCs/>
                <w:color w:val="000000"/>
                <w:sz w:val="20"/>
                <w:szCs w:val="20"/>
                <w:lang w:val="en-NZ" w:eastAsia="en-AU"/>
              </w:rPr>
            </w:pPr>
            <w:r w:rsidRPr="009C3B51">
              <w:rPr>
                <w:rFonts w:eastAsia="Times New Roman"/>
                <w:b/>
                <w:bCs/>
                <w:color w:val="000000"/>
                <w:sz w:val="20"/>
                <w:szCs w:val="20"/>
                <w:lang w:val="en-NZ" w:eastAsia="en-AU"/>
              </w:rPr>
              <w:t xml:space="preserve">2. </w:t>
            </w:r>
            <w:r w:rsidR="001668C9" w:rsidRPr="009C3B51">
              <w:rPr>
                <w:rFonts w:eastAsia="Times New Roman"/>
                <w:b/>
                <w:bCs/>
                <w:color w:val="000000"/>
                <w:sz w:val="20"/>
                <w:szCs w:val="20"/>
                <w:lang w:val="en-NZ" w:eastAsia="en-AU"/>
              </w:rPr>
              <w:t xml:space="preserve">Development of </w:t>
            </w:r>
            <w:r w:rsidRPr="009C3B51">
              <w:rPr>
                <w:rFonts w:eastAsia="Times New Roman"/>
                <w:b/>
                <w:bCs/>
                <w:color w:val="000000"/>
                <w:sz w:val="20"/>
                <w:szCs w:val="20"/>
                <w:lang w:val="en-NZ" w:eastAsia="en-AU"/>
              </w:rPr>
              <w:t xml:space="preserve">Observer Training Course Resource Material  </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Technical assistance – 50 days @ $ 400.00</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20,000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Airfares @ $ 2000 x 2</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4,000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Allowance – 20 days @ $150</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3,000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Publication and printing of materials</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30,000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color w:val="000000"/>
                <w:sz w:val="20"/>
                <w:szCs w:val="20"/>
                <w:lang w:val="en-NZ" w:eastAsia="en-AU"/>
              </w:rPr>
            </w:pP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b/>
                <w:bCs/>
                <w:color w:val="000000"/>
                <w:sz w:val="20"/>
                <w:szCs w:val="20"/>
                <w:lang w:val="en-NZ" w:eastAsia="en-AU"/>
              </w:rPr>
            </w:pPr>
            <w:r w:rsidRPr="009C3B51">
              <w:rPr>
                <w:rFonts w:eastAsia="Times New Roman"/>
                <w:b/>
                <w:bCs/>
                <w:color w:val="000000"/>
                <w:sz w:val="20"/>
                <w:szCs w:val="20"/>
                <w:lang w:val="en-NZ" w:eastAsia="en-AU"/>
              </w:rPr>
              <w:t>$57,000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623D4B" w:rsidP="00623D4B">
            <w:pPr>
              <w:rPr>
                <w:rFonts w:eastAsia="Times New Roman"/>
                <w:b/>
                <w:bCs/>
                <w:color w:val="000000"/>
                <w:sz w:val="20"/>
                <w:szCs w:val="20"/>
                <w:lang w:val="en-NZ" w:eastAsia="en-AU"/>
              </w:rPr>
            </w:pPr>
            <w:r w:rsidRPr="009C3B51">
              <w:rPr>
                <w:rFonts w:eastAsia="Times New Roman"/>
                <w:b/>
                <w:bCs/>
                <w:color w:val="000000"/>
                <w:sz w:val="20"/>
                <w:szCs w:val="20"/>
                <w:lang w:val="en-NZ" w:eastAsia="en-AU"/>
              </w:rPr>
              <w:t>3</w:t>
            </w:r>
            <w:r w:rsidR="00976913" w:rsidRPr="009C3B51">
              <w:rPr>
                <w:rFonts w:eastAsia="Times New Roman"/>
                <w:b/>
                <w:bCs/>
                <w:color w:val="000000"/>
                <w:sz w:val="20"/>
                <w:szCs w:val="20"/>
                <w:lang w:val="en-NZ" w:eastAsia="en-AU"/>
              </w:rPr>
              <w:t>. PIRFO C</w:t>
            </w:r>
            <w:r w:rsidRPr="009C3B51">
              <w:rPr>
                <w:rFonts w:eastAsia="Times New Roman"/>
                <w:b/>
                <w:bCs/>
                <w:color w:val="000000"/>
                <w:sz w:val="20"/>
                <w:szCs w:val="20"/>
                <w:lang w:val="en-NZ" w:eastAsia="en-AU"/>
              </w:rPr>
              <w:t>M</w:t>
            </w:r>
            <w:r w:rsidR="00976913" w:rsidRPr="009C3B51">
              <w:rPr>
                <w:rFonts w:eastAsia="Times New Roman"/>
                <w:b/>
                <w:bCs/>
                <w:color w:val="000000"/>
                <w:sz w:val="20"/>
                <w:szCs w:val="20"/>
                <w:lang w:val="en-NZ" w:eastAsia="en-AU"/>
              </w:rPr>
              <w:t xml:space="preserve">C  </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623D4B" w:rsidP="00623D4B">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Airfares – 3</w:t>
            </w:r>
            <w:r w:rsidR="00976913" w:rsidRPr="009C3B51">
              <w:rPr>
                <w:rFonts w:eastAsia="Times New Roman"/>
                <w:color w:val="000000"/>
                <w:sz w:val="20"/>
                <w:szCs w:val="20"/>
                <w:lang w:val="en-NZ" w:eastAsia="en-AU"/>
              </w:rPr>
              <w:t xml:space="preserve"> people @ $ 3,000</w:t>
            </w:r>
          </w:p>
        </w:tc>
        <w:tc>
          <w:tcPr>
            <w:tcW w:w="1180" w:type="dxa"/>
            <w:tcBorders>
              <w:top w:val="nil"/>
              <w:left w:val="nil"/>
              <w:bottom w:val="nil"/>
              <w:right w:val="nil"/>
            </w:tcBorders>
            <w:shd w:val="clear" w:color="auto" w:fill="auto"/>
            <w:hideMark/>
          </w:tcPr>
          <w:p w:rsidR="00976913" w:rsidRPr="009C3B51" w:rsidRDefault="00623D4B" w:rsidP="00623D4B">
            <w:pPr>
              <w:jc w:val="right"/>
              <w:rPr>
                <w:rFonts w:eastAsia="Times New Roman"/>
                <w:color w:val="000000"/>
                <w:sz w:val="20"/>
                <w:szCs w:val="20"/>
                <w:lang w:val="en-NZ" w:eastAsia="en-AU"/>
              </w:rPr>
            </w:pPr>
            <w:r w:rsidRPr="009C3B51">
              <w:rPr>
                <w:rFonts w:eastAsia="Times New Roman"/>
                <w:color w:val="000000"/>
                <w:sz w:val="20"/>
                <w:szCs w:val="20"/>
                <w:lang w:val="en-NZ" w:eastAsia="en-AU"/>
              </w:rPr>
              <w:t>9</w:t>
            </w:r>
            <w:r w:rsidR="00976913" w:rsidRPr="009C3B51">
              <w:rPr>
                <w:rFonts w:eastAsia="Times New Roman"/>
                <w:color w:val="000000"/>
                <w:sz w:val="20"/>
                <w:szCs w:val="20"/>
                <w:lang w:val="en-NZ" w:eastAsia="en-AU"/>
              </w:rPr>
              <w:t>,000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DSA for CMC – 3 persons for 1 day @ $150.00</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450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ind w:firstLineChars="100" w:firstLine="200"/>
              <w:rPr>
                <w:rFonts w:eastAsia="Times New Roman"/>
                <w:color w:val="000000"/>
                <w:sz w:val="20"/>
                <w:szCs w:val="20"/>
                <w:lang w:val="en-NZ" w:eastAsia="en-AU"/>
              </w:rPr>
            </w:pPr>
            <w:r w:rsidRPr="009C3B51">
              <w:rPr>
                <w:rFonts w:eastAsia="Times New Roman"/>
                <w:color w:val="000000"/>
                <w:sz w:val="20"/>
                <w:szCs w:val="20"/>
                <w:lang w:val="en-NZ" w:eastAsia="en-AU"/>
              </w:rPr>
              <w:t>Workshop expenses (IT support, refreshments, print, transport)</w:t>
            </w:r>
          </w:p>
        </w:tc>
        <w:tc>
          <w:tcPr>
            <w:tcW w:w="1180" w:type="dxa"/>
            <w:tcBorders>
              <w:top w:val="nil"/>
              <w:left w:val="nil"/>
              <w:bottom w:val="nil"/>
              <w:right w:val="nil"/>
            </w:tcBorders>
            <w:shd w:val="clear" w:color="auto" w:fill="auto"/>
            <w:hideMark/>
          </w:tcPr>
          <w:p w:rsidR="00976913" w:rsidRPr="009C3B51" w:rsidRDefault="00623D4B"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720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color w:val="000000"/>
                <w:sz w:val="20"/>
                <w:szCs w:val="20"/>
                <w:lang w:val="en-NZ" w:eastAsia="en-AU"/>
              </w:rPr>
            </w:pPr>
          </w:p>
        </w:tc>
        <w:tc>
          <w:tcPr>
            <w:tcW w:w="1180" w:type="dxa"/>
            <w:tcBorders>
              <w:top w:val="nil"/>
              <w:left w:val="nil"/>
              <w:bottom w:val="nil"/>
              <w:right w:val="nil"/>
            </w:tcBorders>
            <w:shd w:val="clear" w:color="auto" w:fill="auto"/>
            <w:hideMark/>
          </w:tcPr>
          <w:p w:rsidR="00976913" w:rsidRPr="009C3B51" w:rsidRDefault="00623D4B" w:rsidP="00976913">
            <w:pPr>
              <w:jc w:val="right"/>
              <w:rPr>
                <w:rFonts w:eastAsia="Times New Roman"/>
                <w:b/>
                <w:bCs/>
                <w:color w:val="000000"/>
                <w:sz w:val="20"/>
                <w:szCs w:val="20"/>
                <w:lang w:val="en-NZ" w:eastAsia="en-AU"/>
              </w:rPr>
            </w:pPr>
            <w:r w:rsidRPr="009C3B51">
              <w:rPr>
                <w:rFonts w:eastAsia="Times New Roman"/>
                <w:b/>
                <w:bCs/>
                <w:color w:val="000000"/>
                <w:sz w:val="20"/>
                <w:szCs w:val="20"/>
                <w:lang w:val="en-NZ" w:eastAsia="en-AU"/>
              </w:rPr>
              <w:t>10</w:t>
            </w:r>
            <w:r w:rsidR="00976913" w:rsidRPr="009C3B51">
              <w:rPr>
                <w:rFonts w:eastAsia="Times New Roman"/>
                <w:b/>
                <w:bCs/>
                <w:color w:val="000000"/>
                <w:sz w:val="20"/>
                <w:szCs w:val="20"/>
                <w:lang w:val="en-NZ" w:eastAsia="en-AU"/>
              </w:rPr>
              <w:t>,</w:t>
            </w:r>
            <w:r w:rsidRPr="009C3B51">
              <w:rPr>
                <w:rFonts w:eastAsia="Times New Roman"/>
                <w:b/>
                <w:bCs/>
                <w:color w:val="000000"/>
                <w:sz w:val="20"/>
                <w:szCs w:val="20"/>
                <w:lang w:val="en-NZ" w:eastAsia="en-AU"/>
              </w:rPr>
              <w:t>17</w:t>
            </w:r>
            <w:r w:rsidR="00976913" w:rsidRPr="009C3B51">
              <w:rPr>
                <w:rFonts w:eastAsia="Times New Roman"/>
                <w:b/>
                <w:bCs/>
                <w:color w:val="000000"/>
                <w:sz w:val="20"/>
                <w:szCs w:val="20"/>
                <w:lang w:val="en-NZ" w:eastAsia="en-AU"/>
              </w:rPr>
              <w:t>0</w:t>
            </w:r>
          </w:p>
        </w:tc>
      </w:tr>
      <w:tr w:rsidR="00623D4B" w:rsidRPr="009C3B51" w:rsidTr="00623D4B">
        <w:trPr>
          <w:trHeight w:val="300"/>
        </w:trPr>
        <w:tc>
          <w:tcPr>
            <w:tcW w:w="7220" w:type="dxa"/>
            <w:tcBorders>
              <w:top w:val="nil"/>
              <w:left w:val="nil"/>
              <w:bottom w:val="nil"/>
              <w:right w:val="nil"/>
            </w:tcBorders>
            <w:shd w:val="clear" w:color="auto" w:fill="auto"/>
            <w:vAlign w:val="bottom"/>
            <w:hideMark/>
          </w:tcPr>
          <w:p w:rsidR="00623D4B" w:rsidRPr="009C3B51" w:rsidRDefault="00623D4B" w:rsidP="00976913">
            <w:pPr>
              <w:rPr>
                <w:rFonts w:eastAsia="Times New Roman"/>
                <w:b/>
                <w:bCs/>
                <w:color w:val="000000"/>
                <w:sz w:val="20"/>
                <w:szCs w:val="20"/>
                <w:lang w:val="en-NZ" w:eastAsia="en-AU"/>
              </w:rPr>
            </w:pPr>
          </w:p>
        </w:tc>
        <w:tc>
          <w:tcPr>
            <w:tcW w:w="1180" w:type="dxa"/>
            <w:tcBorders>
              <w:top w:val="nil"/>
              <w:left w:val="nil"/>
              <w:bottom w:val="single" w:sz="4" w:space="0" w:color="auto"/>
              <w:right w:val="nil"/>
            </w:tcBorders>
            <w:shd w:val="clear" w:color="auto" w:fill="auto"/>
            <w:hideMark/>
          </w:tcPr>
          <w:p w:rsidR="00623D4B" w:rsidRPr="009C3B51" w:rsidRDefault="00623D4B" w:rsidP="00976913">
            <w:pPr>
              <w:jc w:val="right"/>
              <w:rPr>
                <w:rFonts w:eastAsia="Times New Roman"/>
                <w:color w:val="000000"/>
                <w:sz w:val="20"/>
                <w:szCs w:val="20"/>
                <w:lang w:val="en-NZ" w:eastAsia="en-AU"/>
              </w:rPr>
            </w:pPr>
          </w:p>
        </w:tc>
      </w:tr>
      <w:tr w:rsidR="00623D4B" w:rsidRPr="009C3B51" w:rsidTr="00623D4B">
        <w:trPr>
          <w:trHeight w:val="300"/>
        </w:trPr>
        <w:tc>
          <w:tcPr>
            <w:tcW w:w="7220" w:type="dxa"/>
            <w:tcBorders>
              <w:top w:val="nil"/>
              <w:left w:val="nil"/>
              <w:bottom w:val="nil"/>
              <w:right w:val="nil"/>
            </w:tcBorders>
            <w:shd w:val="clear" w:color="auto" w:fill="auto"/>
            <w:vAlign w:val="bottom"/>
            <w:hideMark/>
          </w:tcPr>
          <w:p w:rsidR="00623D4B" w:rsidRPr="009C3B51" w:rsidRDefault="00623D4B" w:rsidP="00976913">
            <w:pPr>
              <w:rPr>
                <w:rFonts w:eastAsia="Times New Roman"/>
                <w:b/>
                <w:bCs/>
                <w:color w:val="000000"/>
                <w:sz w:val="20"/>
                <w:szCs w:val="20"/>
                <w:lang w:val="en-NZ" w:eastAsia="en-AU"/>
              </w:rPr>
            </w:pPr>
            <w:r w:rsidRPr="009C3B51">
              <w:rPr>
                <w:rFonts w:eastAsia="Times New Roman"/>
                <w:b/>
                <w:bCs/>
                <w:color w:val="000000"/>
                <w:sz w:val="20"/>
                <w:szCs w:val="20"/>
                <w:lang w:val="en-NZ" w:eastAsia="en-AU"/>
              </w:rPr>
              <w:t>Sub total</w:t>
            </w:r>
          </w:p>
        </w:tc>
        <w:tc>
          <w:tcPr>
            <w:tcW w:w="1180" w:type="dxa"/>
            <w:tcBorders>
              <w:top w:val="single" w:sz="4" w:space="0" w:color="auto"/>
              <w:left w:val="nil"/>
              <w:bottom w:val="nil"/>
              <w:right w:val="nil"/>
            </w:tcBorders>
            <w:shd w:val="clear" w:color="auto" w:fill="auto"/>
            <w:hideMark/>
          </w:tcPr>
          <w:p w:rsidR="00623D4B" w:rsidRPr="009C3B51" w:rsidRDefault="00623D4B" w:rsidP="00976913">
            <w:pPr>
              <w:jc w:val="right"/>
              <w:rPr>
                <w:rFonts w:eastAsia="Times New Roman"/>
                <w:b/>
                <w:color w:val="000000"/>
                <w:sz w:val="20"/>
                <w:szCs w:val="20"/>
                <w:lang w:val="en-NZ" w:eastAsia="en-AU"/>
              </w:rPr>
            </w:pPr>
            <w:r w:rsidRPr="009C3B51">
              <w:rPr>
                <w:rFonts w:eastAsia="Times New Roman"/>
                <w:b/>
                <w:color w:val="000000"/>
                <w:sz w:val="20"/>
                <w:szCs w:val="20"/>
                <w:lang w:val="en-NZ" w:eastAsia="en-AU"/>
              </w:rPr>
              <w:t>123,170</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b/>
                <w:bCs/>
                <w:color w:val="000000"/>
                <w:sz w:val="20"/>
                <w:szCs w:val="20"/>
                <w:lang w:val="en-NZ" w:eastAsia="en-AU"/>
              </w:rPr>
            </w:pPr>
            <w:r w:rsidRPr="009C3B51">
              <w:rPr>
                <w:rFonts w:eastAsia="Times New Roman"/>
                <w:b/>
                <w:bCs/>
                <w:color w:val="000000"/>
                <w:sz w:val="20"/>
                <w:szCs w:val="20"/>
                <w:lang w:val="en-NZ" w:eastAsia="en-AU"/>
              </w:rPr>
              <w:t xml:space="preserve">SPC management and administration </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color w:val="000000"/>
                <w:sz w:val="20"/>
                <w:szCs w:val="20"/>
                <w:lang w:val="en-NZ" w:eastAsia="en-AU"/>
              </w:rPr>
            </w:pPr>
            <w:r w:rsidRPr="009C3B51">
              <w:rPr>
                <w:rFonts w:eastAsia="Times New Roman"/>
                <w:color w:val="000000"/>
                <w:sz w:val="20"/>
                <w:szCs w:val="20"/>
                <w:lang w:val="en-NZ" w:eastAsia="en-AU"/>
              </w:rPr>
              <w:t>18,476</w:t>
            </w:r>
          </w:p>
        </w:tc>
      </w:tr>
      <w:tr w:rsidR="00976913" w:rsidRPr="009C3B51" w:rsidTr="00976913">
        <w:trPr>
          <w:trHeight w:val="300"/>
        </w:trPr>
        <w:tc>
          <w:tcPr>
            <w:tcW w:w="7220" w:type="dxa"/>
            <w:tcBorders>
              <w:top w:val="nil"/>
              <w:left w:val="nil"/>
              <w:bottom w:val="nil"/>
              <w:right w:val="nil"/>
            </w:tcBorders>
            <w:shd w:val="clear" w:color="auto" w:fill="auto"/>
            <w:vAlign w:val="bottom"/>
            <w:hideMark/>
          </w:tcPr>
          <w:p w:rsidR="00976913" w:rsidRPr="009C3B51" w:rsidRDefault="00976913" w:rsidP="00976913">
            <w:pPr>
              <w:rPr>
                <w:rFonts w:eastAsia="Times New Roman"/>
                <w:b/>
                <w:bCs/>
                <w:color w:val="000000"/>
                <w:sz w:val="20"/>
                <w:szCs w:val="20"/>
                <w:lang w:val="en-NZ" w:eastAsia="en-AU"/>
              </w:rPr>
            </w:pPr>
            <w:r w:rsidRPr="009C3B51">
              <w:rPr>
                <w:rFonts w:eastAsia="Times New Roman"/>
                <w:b/>
                <w:bCs/>
                <w:color w:val="000000"/>
                <w:sz w:val="20"/>
                <w:szCs w:val="20"/>
                <w:lang w:val="en-NZ" w:eastAsia="en-AU"/>
              </w:rPr>
              <w:t>Total JTF funds sought</w:t>
            </w:r>
          </w:p>
        </w:tc>
        <w:tc>
          <w:tcPr>
            <w:tcW w:w="1180" w:type="dxa"/>
            <w:tcBorders>
              <w:top w:val="nil"/>
              <w:left w:val="nil"/>
              <w:bottom w:val="nil"/>
              <w:right w:val="nil"/>
            </w:tcBorders>
            <w:shd w:val="clear" w:color="auto" w:fill="auto"/>
            <w:hideMark/>
          </w:tcPr>
          <w:p w:rsidR="00976913" w:rsidRPr="009C3B51" w:rsidRDefault="00976913" w:rsidP="00976913">
            <w:pPr>
              <w:jc w:val="right"/>
              <w:rPr>
                <w:rFonts w:eastAsia="Times New Roman"/>
                <w:b/>
                <w:bCs/>
                <w:color w:val="000000"/>
                <w:sz w:val="20"/>
                <w:szCs w:val="20"/>
                <w:lang w:val="en-NZ" w:eastAsia="en-AU"/>
              </w:rPr>
            </w:pPr>
            <w:r w:rsidRPr="009C3B51">
              <w:rPr>
                <w:rFonts w:eastAsia="Times New Roman"/>
                <w:b/>
                <w:bCs/>
                <w:color w:val="000000"/>
                <w:sz w:val="20"/>
                <w:szCs w:val="20"/>
                <w:lang w:val="en-NZ" w:eastAsia="en-AU"/>
              </w:rPr>
              <w:t>$</w:t>
            </w:r>
            <w:r w:rsidR="00623D4B" w:rsidRPr="009C3B51">
              <w:rPr>
                <w:rFonts w:eastAsia="Times New Roman"/>
                <w:b/>
                <w:bCs/>
                <w:color w:val="000000"/>
                <w:sz w:val="20"/>
                <w:szCs w:val="20"/>
                <w:lang w:val="en-NZ" w:eastAsia="en-AU"/>
              </w:rPr>
              <w:t>141,646</w:t>
            </w:r>
          </w:p>
        </w:tc>
      </w:tr>
    </w:tbl>
    <w:p w:rsidR="006C1C82" w:rsidRPr="009C3B51" w:rsidRDefault="006C1C82" w:rsidP="00B91788">
      <w:pPr>
        <w:rPr>
          <w:b/>
          <w:sz w:val="22"/>
          <w:szCs w:val="22"/>
          <w:lang w:val="en-NZ"/>
        </w:rPr>
      </w:pPr>
    </w:p>
    <w:p w:rsidR="00EE48DF" w:rsidRPr="009C3B51" w:rsidRDefault="00EE48DF" w:rsidP="00B91788">
      <w:pPr>
        <w:rPr>
          <w:b/>
          <w:sz w:val="22"/>
          <w:szCs w:val="22"/>
          <w:lang w:val="en-NZ"/>
        </w:rPr>
      </w:pPr>
    </w:p>
    <w:p w:rsidR="00EE48DF" w:rsidRPr="009C3B51" w:rsidRDefault="00EE48DF" w:rsidP="00B91788">
      <w:pPr>
        <w:rPr>
          <w:sz w:val="22"/>
          <w:szCs w:val="22"/>
          <w:lang w:val="en-NZ"/>
        </w:rPr>
      </w:pPr>
      <w:r w:rsidRPr="009C3B51">
        <w:rPr>
          <w:b/>
          <w:sz w:val="22"/>
          <w:szCs w:val="22"/>
          <w:lang w:val="en-NZ"/>
        </w:rPr>
        <w:t>Contacts:</w:t>
      </w:r>
      <w:r w:rsidRPr="009C3B51">
        <w:rPr>
          <w:sz w:val="22"/>
          <w:szCs w:val="22"/>
          <w:lang w:val="en-NZ"/>
        </w:rPr>
        <w:tab/>
        <w:t>Peter Sharples, SPC Oceanic Fisheries Programme</w:t>
      </w:r>
      <w:r w:rsidR="007D049B" w:rsidRPr="009C3B51">
        <w:rPr>
          <w:sz w:val="22"/>
          <w:szCs w:val="22"/>
          <w:lang w:val="en-NZ"/>
        </w:rPr>
        <w:t xml:space="preserve"> (</w:t>
      </w:r>
      <w:hyperlink r:id="rId8" w:history="1">
        <w:r w:rsidR="007D049B" w:rsidRPr="009C3B51">
          <w:rPr>
            <w:rStyle w:val="Hyperlink"/>
            <w:sz w:val="22"/>
            <w:szCs w:val="22"/>
            <w:lang w:val="en-NZ"/>
          </w:rPr>
          <w:t>PeterS@spc.int</w:t>
        </w:r>
      </w:hyperlink>
      <w:r w:rsidR="007D049B" w:rsidRPr="009C3B51">
        <w:rPr>
          <w:sz w:val="22"/>
          <w:szCs w:val="22"/>
          <w:lang w:val="en-NZ"/>
        </w:rPr>
        <w:t xml:space="preserve">)  </w:t>
      </w:r>
    </w:p>
    <w:p w:rsidR="00EE48DF" w:rsidRPr="009C3B51" w:rsidRDefault="00EE48DF" w:rsidP="00B91788">
      <w:pPr>
        <w:rPr>
          <w:sz w:val="22"/>
          <w:szCs w:val="22"/>
          <w:lang w:val="en-NZ"/>
        </w:rPr>
      </w:pPr>
      <w:r w:rsidRPr="009C3B51">
        <w:rPr>
          <w:sz w:val="22"/>
          <w:szCs w:val="22"/>
          <w:lang w:val="en-NZ"/>
        </w:rPr>
        <w:tab/>
      </w:r>
      <w:r w:rsidRPr="009C3B51">
        <w:rPr>
          <w:sz w:val="22"/>
          <w:szCs w:val="22"/>
          <w:lang w:val="en-NZ"/>
        </w:rPr>
        <w:tab/>
        <w:t>Tim Park, FFA</w:t>
      </w:r>
      <w:r w:rsidR="007D049B" w:rsidRPr="009C3B51">
        <w:rPr>
          <w:sz w:val="22"/>
          <w:szCs w:val="22"/>
          <w:lang w:val="en-NZ"/>
        </w:rPr>
        <w:t xml:space="preserve"> (</w:t>
      </w:r>
      <w:hyperlink r:id="rId9" w:history="1">
        <w:r w:rsidR="007D049B" w:rsidRPr="009C3B51">
          <w:rPr>
            <w:rStyle w:val="Hyperlink"/>
            <w:sz w:val="22"/>
            <w:szCs w:val="22"/>
            <w:lang w:val="en-NZ"/>
          </w:rPr>
          <w:t>Tim.Park@ffa.int</w:t>
        </w:r>
      </w:hyperlink>
      <w:r w:rsidR="007D049B" w:rsidRPr="009C3B51">
        <w:rPr>
          <w:sz w:val="22"/>
          <w:szCs w:val="22"/>
          <w:lang w:val="en-NZ"/>
        </w:rPr>
        <w:t xml:space="preserve">) </w:t>
      </w:r>
    </w:p>
    <w:sectPr w:rsidR="00EE48DF" w:rsidRPr="009C3B51" w:rsidSect="007F7767">
      <w:footerReference w:type="even" r:id="rId10"/>
      <w:footerReference w:type="default" r:id="rId11"/>
      <w:pgSz w:w="12242" w:h="15842" w:code="1"/>
      <w:pgMar w:top="1134" w:right="1418" w:bottom="851" w:left="1418"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A6" w:rsidRDefault="00CB1BA6" w:rsidP="00DB6F4E">
      <w:pPr>
        <w:pStyle w:val="Footer"/>
      </w:pPr>
      <w:r>
        <w:separator/>
      </w:r>
    </w:p>
  </w:endnote>
  <w:endnote w:type="continuationSeparator" w:id="0">
    <w:p w:rsidR="00CB1BA6" w:rsidRDefault="00CB1BA6" w:rsidP="00DB6F4E">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A6" w:rsidRDefault="00090872" w:rsidP="00DB6F4E">
    <w:pPr>
      <w:pStyle w:val="Footer"/>
      <w:framePr w:wrap="around" w:vAnchor="text" w:hAnchor="margin" w:xAlign="center" w:y="1"/>
      <w:rPr>
        <w:rStyle w:val="PageNumber"/>
      </w:rPr>
    </w:pPr>
    <w:r>
      <w:rPr>
        <w:rStyle w:val="PageNumber"/>
      </w:rPr>
      <w:fldChar w:fldCharType="begin"/>
    </w:r>
    <w:r w:rsidR="00CB1BA6">
      <w:rPr>
        <w:rStyle w:val="PageNumber"/>
      </w:rPr>
      <w:instrText xml:space="preserve">PAGE  </w:instrText>
    </w:r>
    <w:r>
      <w:rPr>
        <w:rStyle w:val="PageNumber"/>
      </w:rPr>
      <w:fldChar w:fldCharType="end"/>
    </w:r>
  </w:p>
  <w:p w:rsidR="00CB1BA6" w:rsidRDefault="00CB1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A6" w:rsidRDefault="00090872" w:rsidP="00DB6F4E">
    <w:pPr>
      <w:pStyle w:val="Footer"/>
      <w:framePr w:wrap="around" w:vAnchor="text" w:hAnchor="margin" w:xAlign="center" w:y="1"/>
      <w:rPr>
        <w:rStyle w:val="PageNumber"/>
      </w:rPr>
    </w:pPr>
    <w:r>
      <w:rPr>
        <w:rStyle w:val="PageNumber"/>
      </w:rPr>
      <w:fldChar w:fldCharType="begin"/>
    </w:r>
    <w:r w:rsidR="00CB1BA6">
      <w:rPr>
        <w:rStyle w:val="PageNumber"/>
      </w:rPr>
      <w:instrText xml:space="preserve">PAGE  </w:instrText>
    </w:r>
    <w:r>
      <w:rPr>
        <w:rStyle w:val="PageNumber"/>
      </w:rPr>
      <w:fldChar w:fldCharType="separate"/>
    </w:r>
    <w:r w:rsidR="002A1093">
      <w:rPr>
        <w:rStyle w:val="PageNumber"/>
        <w:noProof/>
      </w:rPr>
      <w:t>5</w:t>
    </w:r>
    <w:r>
      <w:rPr>
        <w:rStyle w:val="PageNumber"/>
      </w:rPr>
      <w:fldChar w:fldCharType="end"/>
    </w:r>
  </w:p>
  <w:p w:rsidR="00CB1BA6" w:rsidRDefault="00CB1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A6" w:rsidRDefault="00CB1BA6" w:rsidP="00DB6F4E">
      <w:pPr>
        <w:pStyle w:val="Footer"/>
      </w:pPr>
      <w:r>
        <w:separator/>
      </w:r>
    </w:p>
  </w:footnote>
  <w:footnote w:type="continuationSeparator" w:id="0">
    <w:p w:rsidR="00CB1BA6" w:rsidRDefault="00CB1BA6" w:rsidP="00DB6F4E">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9B2"/>
    <w:multiLevelType w:val="hybridMultilevel"/>
    <w:tmpl w:val="7C94C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5473F"/>
    <w:multiLevelType w:val="hybridMultilevel"/>
    <w:tmpl w:val="D1483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9EE"/>
    <w:multiLevelType w:val="hybridMultilevel"/>
    <w:tmpl w:val="3F72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E49C7"/>
    <w:multiLevelType w:val="hybridMultilevel"/>
    <w:tmpl w:val="13B2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A2DE1"/>
    <w:multiLevelType w:val="hybridMultilevel"/>
    <w:tmpl w:val="64D25BB0"/>
    <w:lvl w:ilvl="0" w:tplc="689222AC">
      <w:start w:val="1"/>
      <w:numFmt w:val="decimal"/>
      <w:lvlText w:val="%1."/>
      <w:lvlJc w:val="left"/>
      <w:pPr>
        <w:tabs>
          <w:tab w:val="num" w:pos="720"/>
        </w:tabs>
        <w:ind w:left="720" w:hanging="720"/>
      </w:pPr>
      <w:rPr>
        <w:rFonts w:ascii="Times New Roman" w:hAnsi="Times New Roman"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85C0C17"/>
    <w:multiLevelType w:val="hybridMultilevel"/>
    <w:tmpl w:val="D3FE6A40"/>
    <w:lvl w:ilvl="0" w:tplc="8B20C0D8">
      <w:start w:val="5"/>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E2626C7"/>
    <w:multiLevelType w:val="hybridMultilevel"/>
    <w:tmpl w:val="A632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062F8"/>
    <w:multiLevelType w:val="hybridMultilevel"/>
    <w:tmpl w:val="0930B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6C32E7"/>
    <w:multiLevelType w:val="hybridMultilevel"/>
    <w:tmpl w:val="4E8E0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D973F1"/>
    <w:multiLevelType w:val="hybridMultilevel"/>
    <w:tmpl w:val="6810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B1E78"/>
    <w:multiLevelType w:val="hybridMultilevel"/>
    <w:tmpl w:val="25B2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F7B8B"/>
    <w:multiLevelType w:val="hybridMultilevel"/>
    <w:tmpl w:val="66149036"/>
    <w:lvl w:ilvl="0" w:tplc="14090001">
      <w:start w:val="1"/>
      <w:numFmt w:val="bullet"/>
      <w:lvlText w:val=""/>
      <w:lvlJc w:val="left"/>
      <w:pPr>
        <w:tabs>
          <w:tab w:val="num" w:pos="2229"/>
        </w:tabs>
        <w:ind w:left="2229" w:hanging="720"/>
      </w:pPr>
      <w:rPr>
        <w:rFonts w:ascii="Symbol" w:hAnsi="Symbol" w:hint="default"/>
      </w:rPr>
    </w:lvl>
    <w:lvl w:ilvl="1" w:tplc="14090019" w:tentative="1">
      <w:start w:val="1"/>
      <w:numFmt w:val="lowerLetter"/>
      <w:lvlText w:val="%2."/>
      <w:lvlJc w:val="left"/>
      <w:pPr>
        <w:ind w:left="2589" w:hanging="360"/>
      </w:pPr>
    </w:lvl>
    <w:lvl w:ilvl="2" w:tplc="1409001B" w:tentative="1">
      <w:start w:val="1"/>
      <w:numFmt w:val="lowerRoman"/>
      <w:lvlText w:val="%3."/>
      <w:lvlJc w:val="right"/>
      <w:pPr>
        <w:ind w:left="3309" w:hanging="180"/>
      </w:pPr>
    </w:lvl>
    <w:lvl w:ilvl="3" w:tplc="1409000F" w:tentative="1">
      <w:start w:val="1"/>
      <w:numFmt w:val="decimal"/>
      <w:lvlText w:val="%4."/>
      <w:lvlJc w:val="left"/>
      <w:pPr>
        <w:ind w:left="4029" w:hanging="360"/>
      </w:pPr>
    </w:lvl>
    <w:lvl w:ilvl="4" w:tplc="14090019" w:tentative="1">
      <w:start w:val="1"/>
      <w:numFmt w:val="lowerLetter"/>
      <w:lvlText w:val="%5."/>
      <w:lvlJc w:val="left"/>
      <w:pPr>
        <w:ind w:left="4749" w:hanging="360"/>
      </w:pPr>
    </w:lvl>
    <w:lvl w:ilvl="5" w:tplc="1409001B" w:tentative="1">
      <w:start w:val="1"/>
      <w:numFmt w:val="lowerRoman"/>
      <w:lvlText w:val="%6."/>
      <w:lvlJc w:val="right"/>
      <w:pPr>
        <w:ind w:left="5469" w:hanging="180"/>
      </w:pPr>
    </w:lvl>
    <w:lvl w:ilvl="6" w:tplc="1409000F" w:tentative="1">
      <w:start w:val="1"/>
      <w:numFmt w:val="decimal"/>
      <w:lvlText w:val="%7."/>
      <w:lvlJc w:val="left"/>
      <w:pPr>
        <w:ind w:left="6189" w:hanging="360"/>
      </w:pPr>
    </w:lvl>
    <w:lvl w:ilvl="7" w:tplc="14090019" w:tentative="1">
      <w:start w:val="1"/>
      <w:numFmt w:val="lowerLetter"/>
      <w:lvlText w:val="%8."/>
      <w:lvlJc w:val="left"/>
      <w:pPr>
        <w:ind w:left="6909" w:hanging="360"/>
      </w:pPr>
    </w:lvl>
    <w:lvl w:ilvl="8" w:tplc="1409001B" w:tentative="1">
      <w:start w:val="1"/>
      <w:numFmt w:val="lowerRoman"/>
      <w:lvlText w:val="%9."/>
      <w:lvlJc w:val="right"/>
      <w:pPr>
        <w:ind w:left="7629" w:hanging="180"/>
      </w:pPr>
    </w:lvl>
  </w:abstractNum>
  <w:abstractNum w:abstractNumId="12">
    <w:nsid w:val="42737066"/>
    <w:multiLevelType w:val="hybridMultilevel"/>
    <w:tmpl w:val="6DEC554A"/>
    <w:lvl w:ilvl="0" w:tplc="2DE87EA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3C5AFD"/>
    <w:multiLevelType w:val="hybridMultilevel"/>
    <w:tmpl w:val="D4D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7039AA"/>
    <w:multiLevelType w:val="hybridMultilevel"/>
    <w:tmpl w:val="67302F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6030B7"/>
    <w:multiLevelType w:val="hybridMultilevel"/>
    <w:tmpl w:val="45EA8CD2"/>
    <w:lvl w:ilvl="0" w:tplc="0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56F40535"/>
    <w:multiLevelType w:val="hybridMultilevel"/>
    <w:tmpl w:val="FABC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BC620D"/>
    <w:multiLevelType w:val="hybridMultilevel"/>
    <w:tmpl w:val="EDAC8808"/>
    <w:lvl w:ilvl="0" w:tplc="8BCEE30A">
      <w:start w:val="1"/>
      <w:numFmt w:val="bullet"/>
      <w:lvlText w:val=""/>
      <w:lvlJc w:val="left"/>
      <w:pPr>
        <w:tabs>
          <w:tab w:val="num" w:pos="360"/>
        </w:tabs>
        <w:ind w:left="360" w:hanging="360"/>
      </w:pPr>
      <w:rPr>
        <w:rFonts w:ascii="Symbol" w:hAnsi="Symbol" w:hint="default"/>
        <w:sz w:val="22"/>
      </w:rPr>
    </w:lvl>
    <w:lvl w:ilvl="1" w:tplc="5A120134">
      <w:start w:val="127"/>
      <w:numFmt w:val="decimal"/>
      <w:lvlText w:val="%2."/>
      <w:lvlJc w:val="left"/>
      <w:pPr>
        <w:tabs>
          <w:tab w:val="num" w:pos="567"/>
        </w:tabs>
      </w:pPr>
      <w:rPr>
        <w:rFonts w:cs="Times New Roman"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5203A41"/>
    <w:multiLevelType w:val="hybridMultilevel"/>
    <w:tmpl w:val="957E9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E06D0F"/>
    <w:multiLevelType w:val="hybridMultilevel"/>
    <w:tmpl w:val="2F04009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0">
    <w:nsid w:val="6CB10DE0"/>
    <w:multiLevelType w:val="hybridMultilevel"/>
    <w:tmpl w:val="B5F60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573320"/>
    <w:multiLevelType w:val="hybridMultilevel"/>
    <w:tmpl w:val="9170FE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FD0277A"/>
    <w:multiLevelType w:val="hybridMultilevel"/>
    <w:tmpl w:val="6636B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6"/>
  </w:num>
  <w:num w:numId="4">
    <w:abstractNumId w:val="12"/>
  </w:num>
  <w:num w:numId="5">
    <w:abstractNumId w:val="8"/>
  </w:num>
  <w:num w:numId="6">
    <w:abstractNumId w:val="10"/>
  </w:num>
  <w:num w:numId="7">
    <w:abstractNumId w:val="16"/>
  </w:num>
  <w:num w:numId="8">
    <w:abstractNumId w:val="1"/>
  </w:num>
  <w:num w:numId="9">
    <w:abstractNumId w:val="3"/>
  </w:num>
  <w:num w:numId="10">
    <w:abstractNumId w:val="9"/>
  </w:num>
  <w:num w:numId="11">
    <w:abstractNumId w:val="13"/>
  </w:num>
  <w:num w:numId="12">
    <w:abstractNumId w:val="2"/>
  </w:num>
  <w:num w:numId="13">
    <w:abstractNumId w:val="0"/>
  </w:num>
  <w:num w:numId="14">
    <w:abstractNumId w:val="22"/>
  </w:num>
  <w:num w:numId="15">
    <w:abstractNumId w:val="18"/>
  </w:num>
  <w:num w:numId="16">
    <w:abstractNumId w:val="20"/>
  </w:num>
  <w:num w:numId="17">
    <w:abstractNumId w:val="21"/>
  </w:num>
  <w:num w:numId="18">
    <w:abstractNumId w:val="5"/>
  </w:num>
  <w:num w:numId="19">
    <w:abstractNumId w:val="19"/>
  </w:num>
  <w:num w:numId="20">
    <w:abstractNumId w:val="14"/>
  </w:num>
  <w:num w:numId="21">
    <w:abstractNumId w:val="4"/>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BB7E30"/>
    <w:rsid w:val="000036EE"/>
    <w:rsid w:val="0000751C"/>
    <w:rsid w:val="00010EAA"/>
    <w:rsid w:val="00015915"/>
    <w:rsid w:val="00015A07"/>
    <w:rsid w:val="00023168"/>
    <w:rsid w:val="00026E89"/>
    <w:rsid w:val="000304FA"/>
    <w:rsid w:val="000325DE"/>
    <w:rsid w:val="00032E9C"/>
    <w:rsid w:val="00042B64"/>
    <w:rsid w:val="0004769A"/>
    <w:rsid w:val="000500E3"/>
    <w:rsid w:val="00053579"/>
    <w:rsid w:val="0006404B"/>
    <w:rsid w:val="00070E9A"/>
    <w:rsid w:val="000712A0"/>
    <w:rsid w:val="00084538"/>
    <w:rsid w:val="0008646C"/>
    <w:rsid w:val="0008717C"/>
    <w:rsid w:val="000904F2"/>
    <w:rsid w:val="00090872"/>
    <w:rsid w:val="00097367"/>
    <w:rsid w:val="000A3546"/>
    <w:rsid w:val="000A54ED"/>
    <w:rsid w:val="000B5288"/>
    <w:rsid w:val="000B58E7"/>
    <w:rsid w:val="000C08BF"/>
    <w:rsid w:val="000C093A"/>
    <w:rsid w:val="000C5823"/>
    <w:rsid w:val="000C5D8D"/>
    <w:rsid w:val="000C7936"/>
    <w:rsid w:val="000D58C4"/>
    <w:rsid w:val="000E2D7F"/>
    <w:rsid w:val="000E55E4"/>
    <w:rsid w:val="000E7601"/>
    <w:rsid w:val="000E798A"/>
    <w:rsid w:val="000F1E6C"/>
    <w:rsid w:val="00100EF9"/>
    <w:rsid w:val="00101560"/>
    <w:rsid w:val="00104D42"/>
    <w:rsid w:val="00106FF8"/>
    <w:rsid w:val="001141D0"/>
    <w:rsid w:val="00114F00"/>
    <w:rsid w:val="001317E4"/>
    <w:rsid w:val="001419A7"/>
    <w:rsid w:val="00142DEB"/>
    <w:rsid w:val="00152740"/>
    <w:rsid w:val="0015343C"/>
    <w:rsid w:val="0015448F"/>
    <w:rsid w:val="00155C57"/>
    <w:rsid w:val="00160D9E"/>
    <w:rsid w:val="00164A4B"/>
    <w:rsid w:val="001668C9"/>
    <w:rsid w:val="00167AF0"/>
    <w:rsid w:val="00171B2C"/>
    <w:rsid w:val="00175783"/>
    <w:rsid w:val="00184336"/>
    <w:rsid w:val="001A54B5"/>
    <w:rsid w:val="001A6F36"/>
    <w:rsid w:val="001B119D"/>
    <w:rsid w:val="001B3D2E"/>
    <w:rsid w:val="001B5B86"/>
    <w:rsid w:val="001D13E5"/>
    <w:rsid w:val="001D1EDD"/>
    <w:rsid w:val="001D27B5"/>
    <w:rsid w:val="001D54E0"/>
    <w:rsid w:val="001D7933"/>
    <w:rsid w:val="001E0824"/>
    <w:rsid w:val="001E7295"/>
    <w:rsid w:val="001F0719"/>
    <w:rsid w:val="001F1AD4"/>
    <w:rsid w:val="0020200C"/>
    <w:rsid w:val="00212A28"/>
    <w:rsid w:val="00212F4F"/>
    <w:rsid w:val="00215853"/>
    <w:rsid w:val="00221804"/>
    <w:rsid w:val="002328DF"/>
    <w:rsid w:val="00236E48"/>
    <w:rsid w:val="00243162"/>
    <w:rsid w:val="00244912"/>
    <w:rsid w:val="002552CC"/>
    <w:rsid w:val="00255493"/>
    <w:rsid w:val="00255B42"/>
    <w:rsid w:val="0027038B"/>
    <w:rsid w:val="00273192"/>
    <w:rsid w:val="00281E24"/>
    <w:rsid w:val="00285A9D"/>
    <w:rsid w:val="0029138A"/>
    <w:rsid w:val="00295A9A"/>
    <w:rsid w:val="002A1093"/>
    <w:rsid w:val="002B3AB8"/>
    <w:rsid w:val="002B4275"/>
    <w:rsid w:val="002B65E8"/>
    <w:rsid w:val="002C339A"/>
    <w:rsid w:val="002C3D62"/>
    <w:rsid w:val="002C4FD1"/>
    <w:rsid w:val="002C5256"/>
    <w:rsid w:val="002C661C"/>
    <w:rsid w:val="002C6C0D"/>
    <w:rsid w:val="002D2826"/>
    <w:rsid w:val="002E1A81"/>
    <w:rsid w:val="002E303C"/>
    <w:rsid w:val="002E5D5A"/>
    <w:rsid w:val="002E7109"/>
    <w:rsid w:val="002E7E96"/>
    <w:rsid w:val="002F13CA"/>
    <w:rsid w:val="002F1968"/>
    <w:rsid w:val="002F2F55"/>
    <w:rsid w:val="002F4331"/>
    <w:rsid w:val="002F64DB"/>
    <w:rsid w:val="002F78AB"/>
    <w:rsid w:val="002F79B8"/>
    <w:rsid w:val="00303802"/>
    <w:rsid w:val="003049D7"/>
    <w:rsid w:val="003105BE"/>
    <w:rsid w:val="00312C94"/>
    <w:rsid w:val="00314E48"/>
    <w:rsid w:val="00316D6C"/>
    <w:rsid w:val="00320B4A"/>
    <w:rsid w:val="00325A90"/>
    <w:rsid w:val="00332143"/>
    <w:rsid w:val="0033417A"/>
    <w:rsid w:val="00341409"/>
    <w:rsid w:val="003478C5"/>
    <w:rsid w:val="00356893"/>
    <w:rsid w:val="003602C6"/>
    <w:rsid w:val="003753BC"/>
    <w:rsid w:val="00391ABB"/>
    <w:rsid w:val="0039360C"/>
    <w:rsid w:val="0039729E"/>
    <w:rsid w:val="003A4B3F"/>
    <w:rsid w:val="003B0803"/>
    <w:rsid w:val="003B08A6"/>
    <w:rsid w:val="003B0D31"/>
    <w:rsid w:val="003B5243"/>
    <w:rsid w:val="003B754C"/>
    <w:rsid w:val="003B7A72"/>
    <w:rsid w:val="003C6636"/>
    <w:rsid w:val="003D41BE"/>
    <w:rsid w:val="003E257F"/>
    <w:rsid w:val="003E48AA"/>
    <w:rsid w:val="003F15A0"/>
    <w:rsid w:val="003F2440"/>
    <w:rsid w:val="003F3FEA"/>
    <w:rsid w:val="00420723"/>
    <w:rsid w:val="00420DB9"/>
    <w:rsid w:val="00426C6C"/>
    <w:rsid w:val="00433E3E"/>
    <w:rsid w:val="004378A2"/>
    <w:rsid w:val="004411AF"/>
    <w:rsid w:val="00442FCE"/>
    <w:rsid w:val="004432CC"/>
    <w:rsid w:val="00446A18"/>
    <w:rsid w:val="004476E0"/>
    <w:rsid w:val="0045239A"/>
    <w:rsid w:val="00460267"/>
    <w:rsid w:val="00460994"/>
    <w:rsid w:val="00461E3E"/>
    <w:rsid w:val="0046527D"/>
    <w:rsid w:val="00472D42"/>
    <w:rsid w:val="00481D73"/>
    <w:rsid w:val="00486C76"/>
    <w:rsid w:val="004903C4"/>
    <w:rsid w:val="00490B33"/>
    <w:rsid w:val="004931C2"/>
    <w:rsid w:val="00495553"/>
    <w:rsid w:val="00496D8C"/>
    <w:rsid w:val="004A3080"/>
    <w:rsid w:val="004A6973"/>
    <w:rsid w:val="004A7777"/>
    <w:rsid w:val="004B21AD"/>
    <w:rsid w:val="004B382D"/>
    <w:rsid w:val="004C0130"/>
    <w:rsid w:val="004C52B0"/>
    <w:rsid w:val="004E4D9E"/>
    <w:rsid w:val="004F5D8C"/>
    <w:rsid w:val="004F5E56"/>
    <w:rsid w:val="00502088"/>
    <w:rsid w:val="0050369F"/>
    <w:rsid w:val="005078A9"/>
    <w:rsid w:val="00510249"/>
    <w:rsid w:val="00511912"/>
    <w:rsid w:val="00520040"/>
    <w:rsid w:val="005236DA"/>
    <w:rsid w:val="00531B25"/>
    <w:rsid w:val="005352FB"/>
    <w:rsid w:val="00537175"/>
    <w:rsid w:val="005447D3"/>
    <w:rsid w:val="00545792"/>
    <w:rsid w:val="00551144"/>
    <w:rsid w:val="0055140B"/>
    <w:rsid w:val="00562676"/>
    <w:rsid w:val="005641C0"/>
    <w:rsid w:val="005644CE"/>
    <w:rsid w:val="00564607"/>
    <w:rsid w:val="00564EC3"/>
    <w:rsid w:val="00565AC6"/>
    <w:rsid w:val="0056645B"/>
    <w:rsid w:val="005815ED"/>
    <w:rsid w:val="00585664"/>
    <w:rsid w:val="00593299"/>
    <w:rsid w:val="00593B9B"/>
    <w:rsid w:val="00594694"/>
    <w:rsid w:val="005A0CDD"/>
    <w:rsid w:val="005A2677"/>
    <w:rsid w:val="005A6291"/>
    <w:rsid w:val="005A636D"/>
    <w:rsid w:val="005A7969"/>
    <w:rsid w:val="005B3478"/>
    <w:rsid w:val="005B4ADE"/>
    <w:rsid w:val="005C5352"/>
    <w:rsid w:val="005C7280"/>
    <w:rsid w:val="005D3873"/>
    <w:rsid w:val="005D3ED7"/>
    <w:rsid w:val="005D5A83"/>
    <w:rsid w:val="005D7183"/>
    <w:rsid w:val="005E2433"/>
    <w:rsid w:val="005E4CD7"/>
    <w:rsid w:val="005E4F70"/>
    <w:rsid w:val="005E63AA"/>
    <w:rsid w:val="005E7A2F"/>
    <w:rsid w:val="005F42F4"/>
    <w:rsid w:val="005F4C83"/>
    <w:rsid w:val="005F5593"/>
    <w:rsid w:val="005F7189"/>
    <w:rsid w:val="00615D36"/>
    <w:rsid w:val="00616005"/>
    <w:rsid w:val="00623D4B"/>
    <w:rsid w:val="00630121"/>
    <w:rsid w:val="00630319"/>
    <w:rsid w:val="0063754D"/>
    <w:rsid w:val="00641A06"/>
    <w:rsid w:val="00651F5B"/>
    <w:rsid w:val="006540C9"/>
    <w:rsid w:val="00654890"/>
    <w:rsid w:val="00663050"/>
    <w:rsid w:val="00664C54"/>
    <w:rsid w:val="006672D6"/>
    <w:rsid w:val="00677CF7"/>
    <w:rsid w:val="006809C5"/>
    <w:rsid w:val="00691C02"/>
    <w:rsid w:val="006A46E2"/>
    <w:rsid w:val="006A5A3D"/>
    <w:rsid w:val="006B310E"/>
    <w:rsid w:val="006B7A4A"/>
    <w:rsid w:val="006C1C82"/>
    <w:rsid w:val="006C22F1"/>
    <w:rsid w:val="006C55D8"/>
    <w:rsid w:val="006C5B6A"/>
    <w:rsid w:val="006D0C72"/>
    <w:rsid w:val="006D516F"/>
    <w:rsid w:val="006E2B7B"/>
    <w:rsid w:val="006E570D"/>
    <w:rsid w:val="006E658F"/>
    <w:rsid w:val="006F11DA"/>
    <w:rsid w:val="006F2B7D"/>
    <w:rsid w:val="006F3BB8"/>
    <w:rsid w:val="006F6816"/>
    <w:rsid w:val="00715D4F"/>
    <w:rsid w:val="00717E9D"/>
    <w:rsid w:val="0072236B"/>
    <w:rsid w:val="00727E06"/>
    <w:rsid w:val="00731673"/>
    <w:rsid w:val="00732E6E"/>
    <w:rsid w:val="00733105"/>
    <w:rsid w:val="007358F7"/>
    <w:rsid w:val="007413BC"/>
    <w:rsid w:val="007447E3"/>
    <w:rsid w:val="007540F0"/>
    <w:rsid w:val="00771627"/>
    <w:rsid w:val="00771D75"/>
    <w:rsid w:val="00775CB7"/>
    <w:rsid w:val="007863CD"/>
    <w:rsid w:val="00791355"/>
    <w:rsid w:val="007928C2"/>
    <w:rsid w:val="00795567"/>
    <w:rsid w:val="00796DA1"/>
    <w:rsid w:val="007A548B"/>
    <w:rsid w:val="007A65E7"/>
    <w:rsid w:val="007A6732"/>
    <w:rsid w:val="007A67FD"/>
    <w:rsid w:val="007B423C"/>
    <w:rsid w:val="007B5C8C"/>
    <w:rsid w:val="007B7C52"/>
    <w:rsid w:val="007C027A"/>
    <w:rsid w:val="007C0408"/>
    <w:rsid w:val="007C0698"/>
    <w:rsid w:val="007C152C"/>
    <w:rsid w:val="007C62A3"/>
    <w:rsid w:val="007C6E39"/>
    <w:rsid w:val="007D049B"/>
    <w:rsid w:val="007E0076"/>
    <w:rsid w:val="007E737C"/>
    <w:rsid w:val="007F16E4"/>
    <w:rsid w:val="007F5004"/>
    <w:rsid w:val="007F7767"/>
    <w:rsid w:val="00801DDD"/>
    <w:rsid w:val="008066E7"/>
    <w:rsid w:val="00811D03"/>
    <w:rsid w:val="00812E6F"/>
    <w:rsid w:val="0081361B"/>
    <w:rsid w:val="00814AEC"/>
    <w:rsid w:val="00822C25"/>
    <w:rsid w:val="0082596F"/>
    <w:rsid w:val="008412A7"/>
    <w:rsid w:val="008417C6"/>
    <w:rsid w:val="00841DA2"/>
    <w:rsid w:val="00843344"/>
    <w:rsid w:val="00843EBE"/>
    <w:rsid w:val="0084599A"/>
    <w:rsid w:val="0084688B"/>
    <w:rsid w:val="0085575A"/>
    <w:rsid w:val="00855C19"/>
    <w:rsid w:val="00860681"/>
    <w:rsid w:val="00861F40"/>
    <w:rsid w:val="00870286"/>
    <w:rsid w:val="00870BF3"/>
    <w:rsid w:val="0087119C"/>
    <w:rsid w:val="00873E3C"/>
    <w:rsid w:val="00880F65"/>
    <w:rsid w:val="00881D08"/>
    <w:rsid w:val="00885A8E"/>
    <w:rsid w:val="00894B7B"/>
    <w:rsid w:val="008973F1"/>
    <w:rsid w:val="008A00D5"/>
    <w:rsid w:val="008A048C"/>
    <w:rsid w:val="008A1FA6"/>
    <w:rsid w:val="008A24FC"/>
    <w:rsid w:val="008A7240"/>
    <w:rsid w:val="008B0CE3"/>
    <w:rsid w:val="008C5CD3"/>
    <w:rsid w:val="008C5D4A"/>
    <w:rsid w:val="008D2E23"/>
    <w:rsid w:val="008E12CA"/>
    <w:rsid w:val="008E59AA"/>
    <w:rsid w:val="008E63E2"/>
    <w:rsid w:val="008E7708"/>
    <w:rsid w:val="008F0B04"/>
    <w:rsid w:val="008F5870"/>
    <w:rsid w:val="008F5D07"/>
    <w:rsid w:val="008F724D"/>
    <w:rsid w:val="00903CFF"/>
    <w:rsid w:val="00912C1E"/>
    <w:rsid w:val="0091435A"/>
    <w:rsid w:val="009209BD"/>
    <w:rsid w:val="00921542"/>
    <w:rsid w:val="0092517D"/>
    <w:rsid w:val="009251B0"/>
    <w:rsid w:val="00940D2F"/>
    <w:rsid w:val="0094248A"/>
    <w:rsid w:val="00944121"/>
    <w:rsid w:val="0094656A"/>
    <w:rsid w:val="00947981"/>
    <w:rsid w:val="009560CD"/>
    <w:rsid w:val="009565C2"/>
    <w:rsid w:val="00961D29"/>
    <w:rsid w:val="0096470B"/>
    <w:rsid w:val="00967945"/>
    <w:rsid w:val="00971148"/>
    <w:rsid w:val="00976913"/>
    <w:rsid w:val="00983D3B"/>
    <w:rsid w:val="00985D56"/>
    <w:rsid w:val="009928D6"/>
    <w:rsid w:val="009941A5"/>
    <w:rsid w:val="009952FB"/>
    <w:rsid w:val="009B077C"/>
    <w:rsid w:val="009B2A89"/>
    <w:rsid w:val="009B3643"/>
    <w:rsid w:val="009B7AE3"/>
    <w:rsid w:val="009C3B51"/>
    <w:rsid w:val="009D3417"/>
    <w:rsid w:val="009D64DB"/>
    <w:rsid w:val="009D7855"/>
    <w:rsid w:val="009E4A2F"/>
    <w:rsid w:val="009E697F"/>
    <w:rsid w:val="009F4A48"/>
    <w:rsid w:val="009F525C"/>
    <w:rsid w:val="009F533A"/>
    <w:rsid w:val="00A1072A"/>
    <w:rsid w:val="00A117BF"/>
    <w:rsid w:val="00A12AE0"/>
    <w:rsid w:val="00A34373"/>
    <w:rsid w:val="00A35CF3"/>
    <w:rsid w:val="00A37A2D"/>
    <w:rsid w:val="00A40ABC"/>
    <w:rsid w:val="00A512CE"/>
    <w:rsid w:val="00A51E70"/>
    <w:rsid w:val="00A55F49"/>
    <w:rsid w:val="00A56987"/>
    <w:rsid w:val="00A6234B"/>
    <w:rsid w:val="00A676DE"/>
    <w:rsid w:val="00A71260"/>
    <w:rsid w:val="00A76137"/>
    <w:rsid w:val="00A77F1E"/>
    <w:rsid w:val="00A84AF6"/>
    <w:rsid w:val="00A86046"/>
    <w:rsid w:val="00A91185"/>
    <w:rsid w:val="00A91FA4"/>
    <w:rsid w:val="00A93E68"/>
    <w:rsid w:val="00AA3F41"/>
    <w:rsid w:val="00AA4583"/>
    <w:rsid w:val="00AA4921"/>
    <w:rsid w:val="00AB1DF5"/>
    <w:rsid w:val="00AB3FF4"/>
    <w:rsid w:val="00AB4848"/>
    <w:rsid w:val="00AB704B"/>
    <w:rsid w:val="00AC396E"/>
    <w:rsid w:val="00AC4824"/>
    <w:rsid w:val="00AD463A"/>
    <w:rsid w:val="00AD639E"/>
    <w:rsid w:val="00AD6B39"/>
    <w:rsid w:val="00AE3BE5"/>
    <w:rsid w:val="00AE4861"/>
    <w:rsid w:val="00AE6EB6"/>
    <w:rsid w:val="00AE7AE8"/>
    <w:rsid w:val="00B03F68"/>
    <w:rsid w:val="00B04998"/>
    <w:rsid w:val="00B058C7"/>
    <w:rsid w:val="00B14BD7"/>
    <w:rsid w:val="00B16EED"/>
    <w:rsid w:val="00B17C2B"/>
    <w:rsid w:val="00B21009"/>
    <w:rsid w:val="00B40F94"/>
    <w:rsid w:val="00B528B1"/>
    <w:rsid w:val="00B643D0"/>
    <w:rsid w:val="00B64536"/>
    <w:rsid w:val="00B776B6"/>
    <w:rsid w:val="00B8146A"/>
    <w:rsid w:val="00B8165D"/>
    <w:rsid w:val="00B839DB"/>
    <w:rsid w:val="00B87F02"/>
    <w:rsid w:val="00B91788"/>
    <w:rsid w:val="00B92151"/>
    <w:rsid w:val="00B932C4"/>
    <w:rsid w:val="00B933F5"/>
    <w:rsid w:val="00BA33E1"/>
    <w:rsid w:val="00BA43AF"/>
    <w:rsid w:val="00BA4D19"/>
    <w:rsid w:val="00BB7E30"/>
    <w:rsid w:val="00BC0270"/>
    <w:rsid w:val="00BC2B2A"/>
    <w:rsid w:val="00BC6692"/>
    <w:rsid w:val="00BD037B"/>
    <w:rsid w:val="00BD123C"/>
    <w:rsid w:val="00BD3D2E"/>
    <w:rsid w:val="00BE2417"/>
    <w:rsid w:val="00BE4FD9"/>
    <w:rsid w:val="00BE67E5"/>
    <w:rsid w:val="00BE7A75"/>
    <w:rsid w:val="00BF0E9C"/>
    <w:rsid w:val="00C0206C"/>
    <w:rsid w:val="00C14C64"/>
    <w:rsid w:val="00C16494"/>
    <w:rsid w:val="00C17F1B"/>
    <w:rsid w:val="00C219E7"/>
    <w:rsid w:val="00C2214F"/>
    <w:rsid w:val="00C2548B"/>
    <w:rsid w:val="00C30383"/>
    <w:rsid w:val="00C3254A"/>
    <w:rsid w:val="00C33BE0"/>
    <w:rsid w:val="00C33D1A"/>
    <w:rsid w:val="00C6025A"/>
    <w:rsid w:val="00C6150D"/>
    <w:rsid w:val="00C64EDD"/>
    <w:rsid w:val="00C70454"/>
    <w:rsid w:val="00C71F7D"/>
    <w:rsid w:val="00C90106"/>
    <w:rsid w:val="00C96A70"/>
    <w:rsid w:val="00CA16AE"/>
    <w:rsid w:val="00CA1DE3"/>
    <w:rsid w:val="00CA35E1"/>
    <w:rsid w:val="00CA5AB7"/>
    <w:rsid w:val="00CB1BA6"/>
    <w:rsid w:val="00CC777B"/>
    <w:rsid w:val="00CD6E68"/>
    <w:rsid w:val="00CD7F79"/>
    <w:rsid w:val="00CE32A3"/>
    <w:rsid w:val="00CE3604"/>
    <w:rsid w:val="00CE3EF4"/>
    <w:rsid w:val="00CF021D"/>
    <w:rsid w:val="00CF057B"/>
    <w:rsid w:val="00CF115C"/>
    <w:rsid w:val="00CF33B7"/>
    <w:rsid w:val="00CF419B"/>
    <w:rsid w:val="00D01EA4"/>
    <w:rsid w:val="00D0509D"/>
    <w:rsid w:val="00D050D4"/>
    <w:rsid w:val="00D05DFB"/>
    <w:rsid w:val="00D06409"/>
    <w:rsid w:val="00D0765A"/>
    <w:rsid w:val="00D1074F"/>
    <w:rsid w:val="00D13AA2"/>
    <w:rsid w:val="00D20101"/>
    <w:rsid w:val="00D20347"/>
    <w:rsid w:val="00D222A8"/>
    <w:rsid w:val="00D257C6"/>
    <w:rsid w:val="00D26065"/>
    <w:rsid w:val="00D27C82"/>
    <w:rsid w:val="00D3062B"/>
    <w:rsid w:val="00D3463E"/>
    <w:rsid w:val="00D435C1"/>
    <w:rsid w:val="00D44F78"/>
    <w:rsid w:val="00D502D3"/>
    <w:rsid w:val="00D51281"/>
    <w:rsid w:val="00D655F3"/>
    <w:rsid w:val="00D763C3"/>
    <w:rsid w:val="00D775B3"/>
    <w:rsid w:val="00D8092B"/>
    <w:rsid w:val="00D81086"/>
    <w:rsid w:val="00D8721B"/>
    <w:rsid w:val="00D94AB9"/>
    <w:rsid w:val="00D97D23"/>
    <w:rsid w:val="00DA123A"/>
    <w:rsid w:val="00DA2A6C"/>
    <w:rsid w:val="00DA656C"/>
    <w:rsid w:val="00DB055D"/>
    <w:rsid w:val="00DB08F3"/>
    <w:rsid w:val="00DB6F4E"/>
    <w:rsid w:val="00DC2A88"/>
    <w:rsid w:val="00DC68BD"/>
    <w:rsid w:val="00DD5B5D"/>
    <w:rsid w:val="00DE360C"/>
    <w:rsid w:val="00DE5C76"/>
    <w:rsid w:val="00DE748B"/>
    <w:rsid w:val="00DF2970"/>
    <w:rsid w:val="00E017EB"/>
    <w:rsid w:val="00E02481"/>
    <w:rsid w:val="00E05C1C"/>
    <w:rsid w:val="00E105A4"/>
    <w:rsid w:val="00E11272"/>
    <w:rsid w:val="00E31CDE"/>
    <w:rsid w:val="00E36CE5"/>
    <w:rsid w:val="00E37EEA"/>
    <w:rsid w:val="00E44FC3"/>
    <w:rsid w:val="00E45709"/>
    <w:rsid w:val="00E55D0D"/>
    <w:rsid w:val="00E57A20"/>
    <w:rsid w:val="00E63220"/>
    <w:rsid w:val="00E71857"/>
    <w:rsid w:val="00E87101"/>
    <w:rsid w:val="00E902F4"/>
    <w:rsid w:val="00E90A44"/>
    <w:rsid w:val="00E97DBE"/>
    <w:rsid w:val="00EB6AD7"/>
    <w:rsid w:val="00ED1D02"/>
    <w:rsid w:val="00EE246F"/>
    <w:rsid w:val="00EE48DF"/>
    <w:rsid w:val="00EE6050"/>
    <w:rsid w:val="00EF1092"/>
    <w:rsid w:val="00EF456D"/>
    <w:rsid w:val="00EF608A"/>
    <w:rsid w:val="00F075A7"/>
    <w:rsid w:val="00F12CEF"/>
    <w:rsid w:val="00F14333"/>
    <w:rsid w:val="00F16070"/>
    <w:rsid w:val="00F224DC"/>
    <w:rsid w:val="00F25783"/>
    <w:rsid w:val="00F306A4"/>
    <w:rsid w:val="00F31468"/>
    <w:rsid w:val="00F353F0"/>
    <w:rsid w:val="00F35A7D"/>
    <w:rsid w:val="00F40C6B"/>
    <w:rsid w:val="00F457FF"/>
    <w:rsid w:val="00F46542"/>
    <w:rsid w:val="00F46F29"/>
    <w:rsid w:val="00F50895"/>
    <w:rsid w:val="00F60A1B"/>
    <w:rsid w:val="00F65A4E"/>
    <w:rsid w:val="00F66033"/>
    <w:rsid w:val="00F668B4"/>
    <w:rsid w:val="00F712FC"/>
    <w:rsid w:val="00F74842"/>
    <w:rsid w:val="00F7792F"/>
    <w:rsid w:val="00F8005B"/>
    <w:rsid w:val="00F8072B"/>
    <w:rsid w:val="00F8228F"/>
    <w:rsid w:val="00F82B8F"/>
    <w:rsid w:val="00F842C8"/>
    <w:rsid w:val="00F86FA6"/>
    <w:rsid w:val="00FA2050"/>
    <w:rsid w:val="00FA42A7"/>
    <w:rsid w:val="00FB0F7C"/>
    <w:rsid w:val="00FB17AD"/>
    <w:rsid w:val="00FB1855"/>
    <w:rsid w:val="00FB3F72"/>
    <w:rsid w:val="00FC466A"/>
    <w:rsid w:val="00FC6484"/>
    <w:rsid w:val="00FD59CE"/>
    <w:rsid w:val="00FF318B"/>
    <w:rsid w:val="00FF5123"/>
    <w:rsid w:val="00FF5F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8D"/>
    <w:rPr>
      <w:sz w:val="24"/>
      <w:szCs w:val="24"/>
      <w:lang w:val="en-US" w:eastAsia="ja-JP"/>
    </w:rPr>
  </w:style>
  <w:style w:type="paragraph" w:styleId="Heading1">
    <w:name w:val="heading 1"/>
    <w:basedOn w:val="Normal"/>
    <w:next w:val="Normal"/>
    <w:link w:val="Heading1Char"/>
    <w:qFormat/>
    <w:locked/>
    <w:rsid w:val="009C3B51"/>
    <w:pPr>
      <w:keepNext/>
      <w:spacing w:before="240" w:after="60"/>
      <w:jc w:val="both"/>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2DEB"/>
    <w:rPr>
      <w:rFonts w:ascii="Tahoma" w:hAnsi="Tahoma" w:cs="Tahoma"/>
      <w:sz w:val="16"/>
      <w:szCs w:val="16"/>
    </w:rPr>
  </w:style>
  <w:style w:type="character" w:customStyle="1" w:styleId="BalloonTextChar">
    <w:name w:val="Balloon Text Char"/>
    <w:basedOn w:val="DefaultParagraphFont"/>
    <w:link w:val="BalloonText"/>
    <w:uiPriority w:val="99"/>
    <w:semiHidden/>
    <w:rsid w:val="00DA4884"/>
    <w:rPr>
      <w:sz w:val="0"/>
      <w:szCs w:val="0"/>
      <w:lang w:val="en-US" w:eastAsia="ja-JP"/>
    </w:rPr>
  </w:style>
  <w:style w:type="paragraph" w:styleId="Footer">
    <w:name w:val="footer"/>
    <w:basedOn w:val="Normal"/>
    <w:link w:val="FooterChar"/>
    <w:uiPriority w:val="99"/>
    <w:rsid w:val="00814AEC"/>
    <w:pPr>
      <w:tabs>
        <w:tab w:val="center" w:pos="4320"/>
        <w:tab w:val="right" w:pos="8640"/>
      </w:tabs>
    </w:pPr>
  </w:style>
  <w:style w:type="character" w:customStyle="1" w:styleId="FooterChar">
    <w:name w:val="Footer Char"/>
    <w:basedOn w:val="DefaultParagraphFont"/>
    <w:link w:val="Footer"/>
    <w:uiPriority w:val="99"/>
    <w:semiHidden/>
    <w:rsid w:val="00DA4884"/>
    <w:rPr>
      <w:sz w:val="24"/>
      <w:szCs w:val="24"/>
      <w:lang w:val="en-US" w:eastAsia="ja-JP"/>
    </w:rPr>
  </w:style>
  <w:style w:type="character" w:styleId="PageNumber">
    <w:name w:val="page number"/>
    <w:basedOn w:val="DefaultParagraphFont"/>
    <w:uiPriority w:val="99"/>
    <w:rsid w:val="00814AEC"/>
    <w:rPr>
      <w:rFonts w:cs="Times New Roman"/>
    </w:rPr>
  </w:style>
  <w:style w:type="table" w:styleId="TableGrid">
    <w:name w:val="Table Grid"/>
    <w:basedOn w:val="TableNormal"/>
    <w:uiPriority w:val="99"/>
    <w:rsid w:val="005C53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2DEB"/>
    <w:rPr>
      <w:rFonts w:cs="Times New Roman"/>
      <w:sz w:val="16"/>
      <w:szCs w:val="16"/>
    </w:rPr>
  </w:style>
  <w:style w:type="paragraph" w:styleId="CommentText">
    <w:name w:val="annotation text"/>
    <w:basedOn w:val="Normal"/>
    <w:link w:val="CommentTextChar"/>
    <w:uiPriority w:val="99"/>
    <w:semiHidden/>
    <w:rsid w:val="00142DEB"/>
    <w:rPr>
      <w:sz w:val="20"/>
      <w:szCs w:val="20"/>
    </w:rPr>
  </w:style>
  <w:style w:type="character" w:customStyle="1" w:styleId="CommentTextChar">
    <w:name w:val="Comment Text Char"/>
    <w:basedOn w:val="DefaultParagraphFont"/>
    <w:link w:val="CommentText"/>
    <w:uiPriority w:val="99"/>
    <w:semiHidden/>
    <w:rsid w:val="00DA4884"/>
    <w:rPr>
      <w:sz w:val="20"/>
      <w:szCs w:val="20"/>
      <w:lang w:val="en-US" w:eastAsia="ja-JP"/>
    </w:rPr>
  </w:style>
  <w:style w:type="paragraph" w:styleId="CommentSubject">
    <w:name w:val="annotation subject"/>
    <w:basedOn w:val="CommentText"/>
    <w:next w:val="CommentText"/>
    <w:link w:val="CommentSubjectChar"/>
    <w:uiPriority w:val="99"/>
    <w:semiHidden/>
    <w:rsid w:val="00142DEB"/>
    <w:rPr>
      <w:b/>
      <w:bCs/>
    </w:rPr>
  </w:style>
  <w:style w:type="character" w:customStyle="1" w:styleId="CommentSubjectChar">
    <w:name w:val="Comment Subject Char"/>
    <w:basedOn w:val="CommentTextChar"/>
    <w:link w:val="CommentSubject"/>
    <w:uiPriority w:val="99"/>
    <w:semiHidden/>
    <w:rsid w:val="00DA4884"/>
    <w:rPr>
      <w:b/>
      <w:bCs/>
    </w:rPr>
  </w:style>
  <w:style w:type="paragraph" w:styleId="Revision">
    <w:name w:val="Revision"/>
    <w:hidden/>
    <w:uiPriority w:val="99"/>
    <w:semiHidden/>
    <w:rsid w:val="001A54B5"/>
    <w:rPr>
      <w:sz w:val="24"/>
      <w:szCs w:val="24"/>
      <w:lang w:val="en-US" w:eastAsia="ja-JP"/>
    </w:rPr>
  </w:style>
  <w:style w:type="paragraph" w:styleId="FootnoteText">
    <w:name w:val="footnote text"/>
    <w:basedOn w:val="Normal"/>
    <w:link w:val="FootnoteTextChar"/>
    <w:rsid w:val="00426C6C"/>
    <w:rPr>
      <w:sz w:val="20"/>
      <w:szCs w:val="20"/>
    </w:rPr>
  </w:style>
  <w:style w:type="character" w:customStyle="1" w:styleId="FootnoteTextChar">
    <w:name w:val="Footnote Text Char"/>
    <w:basedOn w:val="DefaultParagraphFont"/>
    <w:link w:val="FootnoteText"/>
    <w:locked/>
    <w:rsid w:val="00426C6C"/>
    <w:rPr>
      <w:rFonts w:cs="Times New Roman"/>
      <w:lang w:eastAsia="ja-JP"/>
    </w:rPr>
  </w:style>
  <w:style w:type="character" w:styleId="FootnoteReference">
    <w:name w:val="footnote reference"/>
    <w:basedOn w:val="DefaultParagraphFont"/>
    <w:rsid w:val="00426C6C"/>
    <w:rPr>
      <w:rFonts w:cs="Times New Roman"/>
      <w:vertAlign w:val="superscript"/>
    </w:rPr>
  </w:style>
  <w:style w:type="character" w:styleId="Hyperlink">
    <w:name w:val="Hyperlink"/>
    <w:basedOn w:val="DefaultParagraphFont"/>
    <w:uiPriority w:val="99"/>
    <w:rsid w:val="007B423C"/>
    <w:rPr>
      <w:rFonts w:cs="Times New Roman"/>
      <w:color w:val="0000FF"/>
      <w:u w:val="single"/>
    </w:rPr>
  </w:style>
  <w:style w:type="paragraph" w:styleId="ListParagraph">
    <w:name w:val="List Paragraph"/>
    <w:basedOn w:val="Normal"/>
    <w:uiPriority w:val="99"/>
    <w:qFormat/>
    <w:rsid w:val="00E63220"/>
    <w:pPr>
      <w:ind w:left="720"/>
      <w:contextualSpacing/>
    </w:pPr>
  </w:style>
  <w:style w:type="character" w:customStyle="1" w:styleId="Heading1Char">
    <w:name w:val="Heading 1 Char"/>
    <w:basedOn w:val="DefaultParagraphFont"/>
    <w:link w:val="Heading1"/>
    <w:rsid w:val="009C3B51"/>
    <w:rPr>
      <w:rFonts w:ascii="Arial" w:eastAsia="Times New Roman"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5864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spc.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Park@ff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EF6D-D61B-4F0F-AB8E-87192C8B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1843</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JAPAN TRUST FUND</vt:lpstr>
    </vt:vector>
  </TitlesOfParts>
  <Company> None</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TRUST FUND</dc:title>
  <dc:subject/>
  <dc:creator>Hugh Walton</dc:creator>
  <cp:keywords/>
  <dc:description/>
  <cp:lastModifiedBy>Peter Sharples</cp:lastModifiedBy>
  <cp:revision>4</cp:revision>
  <cp:lastPrinted>2010-03-03T03:53:00Z</cp:lastPrinted>
  <dcterms:created xsi:type="dcterms:W3CDTF">2010-03-03T21:20:00Z</dcterms:created>
  <dcterms:modified xsi:type="dcterms:W3CDTF">2010-03-04T03:10:00Z</dcterms:modified>
</cp:coreProperties>
</file>