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1F" w:rsidRPr="001D1FA1" w:rsidRDefault="00274B1F" w:rsidP="001D1FA1">
      <w:pPr>
        <w:pStyle w:val="Heading1"/>
        <w:tabs>
          <w:tab w:val="left" w:pos="1620"/>
        </w:tabs>
        <w:spacing w:before="0" w:after="0"/>
        <w:rPr>
          <w:sz w:val="28"/>
          <w:szCs w:val="28"/>
          <w:lang w:val="en-US"/>
        </w:rPr>
      </w:pPr>
      <w:r w:rsidRPr="001D1FA1">
        <w:rPr>
          <w:sz w:val="28"/>
          <w:szCs w:val="28"/>
          <w:lang w:val="en-US"/>
        </w:rPr>
        <w:t>ANNEX I</w:t>
      </w:r>
      <w:r w:rsidRPr="001D1FA1">
        <w:rPr>
          <w:sz w:val="28"/>
          <w:szCs w:val="28"/>
          <w:lang w:val="en-US"/>
        </w:rPr>
        <w:tab/>
        <w:t>Agreement for the Provision of Scientific Services to the Commission and Assistance to Members by the Secretariat of the Pacific Community</w:t>
      </w:r>
    </w:p>
    <w:p w:rsidR="00274B1F" w:rsidRPr="00E453D5" w:rsidRDefault="00274B1F" w:rsidP="00CC3DB3">
      <w:pPr>
        <w:rPr>
          <w:sz w:val="22"/>
          <w:szCs w:val="22"/>
          <w:lang w:val="en-US" w:eastAsia="ko-KR"/>
        </w:rPr>
      </w:pPr>
    </w:p>
    <w:p w:rsidR="00274B1F" w:rsidRPr="008016C3" w:rsidRDefault="00274B1F" w:rsidP="001D1FA1">
      <w:pPr>
        <w:pStyle w:val="Heading2"/>
        <w:numPr>
          <w:ilvl w:val="0"/>
          <w:numId w:val="2"/>
        </w:numPr>
        <w:spacing w:before="0" w:after="0"/>
        <w:rPr>
          <w:rFonts w:ascii="Times New Roman" w:hAnsi="Times New Roman" w:cs="Times New Roman"/>
          <w:sz w:val="22"/>
          <w:szCs w:val="22"/>
          <w:lang w:val="en-US"/>
        </w:rPr>
      </w:pPr>
      <w:r w:rsidRPr="008016C3">
        <w:rPr>
          <w:rFonts w:ascii="Times New Roman" w:hAnsi="Times New Roman" w:cs="Times New Roman"/>
          <w:sz w:val="22"/>
          <w:szCs w:val="22"/>
          <w:lang w:val="en-US"/>
        </w:rPr>
        <w:t>Period Covered by this Agreement</w:t>
      </w:r>
    </w:p>
    <w:p w:rsidR="00274B1F" w:rsidRPr="008016C3" w:rsidRDefault="00274B1F" w:rsidP="001D1FA1">
      <w:pPr>
        <w:spacing w:after="0"/>
        <w:rPr>
          <w:sz w:val="22"/>
          <w:szCs w:val="22"/>
          <w:lang w:val="en-US"/>
        </w:rPr>
      </w:pPr>
      <w:r w:rsidRPr="008016C3">
        <w:rPr>
          <w:sz w:val="22"/>
          <w:szCs w:val="22"/>
          <w:lang w:val="en-US"/>
        </w:rPr>
        <w:t>The period covered by this Agreement is 1 January 20</w:t>
      </w:r>
      <w:r w:rsidR="004F139B" w:rsidRPr="008016C3">
        <w:rPr>
          <w:sz w:val="22"/>
          <w:szCs w:val="22"/>
          <w:lang w:val="en-US"/>
        </w:rPr>
        <w:t>10</w:t>
      </w:r>
      <w:r w:rsidRPr="008016C3">
        <w:rPr>
          <w:sz w:val="22"/>
          <w:szCs w:val="22"/>
          <w:lang w:val="en-US"/>
        </w:rPr>
        <w:t xml:space="preserve"> to 31 December 20</w:t>
      </w:r>
      <w:r w:rsidR="004F139B" w:rsidRPr="008016C3">
        <w:rPr>
          <w:sz w:val="22"/>
          <w:szCs w:val="22"/>
          <w:lang w:val="en-US"/>
        </w:rPr>
        <w:t>10</w:t>
      </w:r>
      <w:r w:rsidRPr="008016C3">
        <w:rPr>
          <w:sz w:val="22"/>
          <w:szCs w:val="22"/>
          <w:lang w:val="en-US"/>
        </w:rPr>
        <w:t>.</w:t>
      </w:r>
    </w:p>
    <w:p w:rsidR="00274B1F" w:rsidRPr="008016C3" w:rsidRDefault="00274B1F" w:rsidP="001D1FA1">
      <w:pPr>
        <w:spacing w:after="0"/>
        <w:rPr>
          <w:sz w:val="22"/>
          <w:szCs w:val="22"/>
          <w:lang w:val="en-US" w:eastAsia="ko-KR"/>
        </w:rPr>
      </w:pPr>
    </w:p>
    <w:p w:rsidR="00274B1F" w:rsidRPr="008016C3" w:rsidRDefault="00274B1F" w:rsidP="001D1FA1">
      <w:pPr>
        <w:pStyle w:val="Heading2"/>
        <w:spacing w:before="0" w:after="0"/>
        <w:rPr>
          <w:rFonts w:ascii="Times New Roman" w:hAnsi="Times New Roman" w:cs="Times New Roman"/>
          <w:sz w:val="22"/>
          <w:szCs w:val="22"/>
          <w:lang w:val="en-US"/>
        </w:rPr>
      </w:pPr>
      <w:r w:rsidRPr="008016C3">
        <w:rPr>
          <w:rFonts w:ascii="Times New Roman" w:hAnsi="Times New Roman" w:cs="Times New Roman"/>
          <w:sz w:val="22"/>
          <w:szCs w:val="22"/>
          <w:lang w:val="en-US"/>
        </w:rPr>
        <w:t>Scientific Services to be Provided</w:t>
      </w:r>
    </w:p>
    <w:p w:rsidR="00274B1F" w:rsidRPr="008016C3" w:rsidRDefault="00274B1F" w:rsidP="001D1FA1">
      <w:pPr>
        <w:spacing w:after="0"/>
        <w:rPr>
          <w:sz w:val="22"/>
          <w:szCs w:val="22"/>
          <w:lang w:val="en-US"/>
        </w:rPr>
      </w:pPr>
      <w:r w:rsidRPr="008016C3">
        <w:rPr>
          <w:sz w:val="22"/>
          <w:szCs w:val="22"/>
          <w:lang w:val="en-US"/>
        </w:rPr>
        <w:t>The scientific services to be provided to the Commission by the SPC OFP during the period of this Agreement are as follows:</w:t>
      </w:r>
    </w:p>
    <w:p w:rsidR="00645B98" w:rsidRPr="008016C3" w:rsidRDefault="00645B98" w:rsidP="001D1FA1">
      <w:pPr>
        <w:spacing w:after="0"/>
        <w:rPr>
          <w:sz w:val="22"/>
          <w:szCs w:val="22"/>
          <w:lang w:val="en-US"/>
        </w:rPr>
      </w:pPr>
    </w:p>
    <w:tbl>
      <w:tblPr>
        <w:tblStyle w:val="TableGrid"/>
        <w:tblW w:w="0" w:type="auto"/>
        <w:tblLayout w:type="fixed"/>
        <w:tblLook w:val="04A0"/>
      </w:tblPr>
      <w:tblGrid>
        <w:gridCol w:w="1098"/>
        <w:gridCol w:w="7380"/>
        <w:gridCol w:w="2520"/>
        <w:gridCol w:w="1350"/>
        <w:gridCol w:w="1828"/>
      </w:tblGrid>
      <w:tr w:rsidR="0037444A" w:rsidRPr="008016C3" w:rsidTr="0099701C">
        <w:trPr>
          <w:tblHeader/>
        </w:trPr>
        <w:tc>
          <w:tcPr>
            <w:tcW w:w="1098" w:type="dxa"/>
            <w:tcBorders>
              <w:bottom w:val="single" w:sz="4" w:space="0" w:color="auto"/>
            </w:tcBorders>
            <w:shd w:val="solid" w:color="auto" w:fill="auto"/>
          </w:tcPr>
          <w:p w:rsidR="00645B98" w:rsidRPr="0099701C" w:rsidRDefault="00645B98" w:rsidP="009C3A42">
            <w:pPr>
              <w:spacing w:after="0"/>
              <w:jc w:val="center"/>
              <w:rPr>
                <w:b/>
                <w:color w:val="FFFFFF" w:themeColor="background1"/>
                <w:sz w:val="22"/>
                <w:szCs w:val="22"/>
                <w:lang w:val="en-US"/>
              </w:rPr>
            </w:pPr>
            <w:r w:rsidRPr="0099701C">
              <w:rPr>
                <w:b/>
                <w:color w:val="FFFFFF" w:themeColor="background1"/>
                <w:sz w:val="22"/>
                <w:szCs w:val="22"/>
                <w:lang w:val="en-US"/>
              </w:rPr>
              <w:t>Activity</w:t>
            </w:r>
            <w:r w:rsidRPr="0099701C">
              <w:rPr>
                <w:rStyle w:val="FootnoteReference"/>
                <w:b/>
                <w:color w:val="FFFFFF" w:themeColor="background1"/>
                <w:sz w:val="22"/>
                <w:szCs w:val="22"/>
                <w:lang w:val="en-US"/>
              </w:rPr>
              <w:footnoteReference w:id="1"/>
            </w:r>
          </w:p>
        </w:tc>
        <w:tc>
          <w:tcPr>
            <w:tcW w:w="7380" w:type="dxa"/>
            <w:tcBorders>
              <w:bottom w:val="single" w:sz="4" w:space="0" w:color="auto"/>
            </w:tcBorders>
            <w:shd w:val="solid" w:color="auto" w:fill="auto"/>
          </w:tcPr>
          <w:p w:rsidR="00645B98" w:rsidRPr="0099701C" w:rsidRDefault="00645B98" w:rsidP="009C3A42">
            <w:pPr>
              <w:spacing w:after="0"/>
              <w:jc w:val="center"/>
              <w:rPr>
                <w:b/>
                <w:color w:val="FFFFFF" w:themeColor="background1"/>
                <w:sz w:val="22"/>
                <w:szCs w:val="22"/>
                <w:lang w:val="en-US"/>
              </w:rPr>
            </w:pPr>
            <w:r w:rsidRPr="0099701C">
              <w:rPr>
                <w:b/>
                <w:color w:val="FFFFFF" w:themeColor="background1"/>
                <w:sz w:val="22"/>
                <w:szCs w:val="22"/>
                <w:lang w:val="en-US"/>
              </w:rPr>
              <w:t>Description of Service</w:t>
            </w:r>
          </w:p>
        </w:tc>
        <w:tc>
          <w:tcPr>
            <w:tcW w:w="2520" w:type="dxa"/>
            <w:tcBorders>
              <w:bottom w:val="single" w:sz="4" w:space="0" w:color="auto"/>
            </w:tcBorders>
            <w:shd w:val="solid" w:color="auto" w:fill="auto"/>
          </w:tcPr>
          <w:p w:rsidR="00645B98" w:rsidRPr="0099701C" w:rsidRDefault="00645B98" w:rsidP="009C3A42">
            <w:pPr>
              <w:spacing w:after="0"/>
              <w:jc w:val="center"/>
              <w:rPr>
                <w:b/>
                <w:color w:val="FFFFFF" w:themeColor="background1"/>
                <w:sz w:val="22"/>
                <w:szCs w:val="22"/>
                <w:lang w:val="en-US"/>
              </w:rPr>
            </w:pPr>
            <w:r w:rsidRPr="0099701C">
              <w:rPr>
                <w:b/>
                <w:color w:val="FFFFFF" w:themeColor="background1"/>
                <w:sz w:val="22"/>
                <w:szCs w:val="22"/>
                <w:lang w:val="en-US"/>
              </w:rPr>
              <w:t>Specific Outputs</w:t>
            </w:r>
          </w:p>
        </w:tc>
        <w:tc>
          <w:tcPr>
            <w:tcW w:w="1350" w:type="dxa"/>
            <w:tcBorders>
              <w:bottom w:val="single" w:sz="4" w:space="0" w:color="auto"/>
            </w:tcBorders>
            <w:shd w:val="solid" w:color="auto" w:fill="auto"/>
          </w:tcPr>
          <w:p w:rsidR="00645B98" w:rsidRPr="0099701C" w:rsidRDefault="00645B98" w:rsidP="009C3A42">
            <w:pPr>
              <w:spacing w:after="0"/>
              <w:jc w:val="center"/>
              <w:rPr>
                <w:b/>
                <w:color w:val="FFFFFF" w:themeColor="background1"/>
                <w:sz w:val="22"/>
                <w:szCs w:val="22"/>
                <w:lang w:val="en-US"/>
              </w:rPr>
            </w:pPr>
            <w:r w:rsidRPr="0099701C">
              <w:rPr>
                <w:b/>
                <w:color w:val="FFFFFF" w:themeColor="background1"/>
                <w:sz w:val="22"/>
                <w:szCs w:val="22"/>
                <w:lang w:val="en-US"/>
              </w:rPr>
              <w:t>Timing</w:t>
            </w:r>
          </w:p>
        </w:tc>
        <w:tc>
          <w:tcPr>
            <w:tcW w:w="1828" w:type="dxa"/>
            <w:tcBorders>
              <w:bottom w:val="single" w:sz="4" w:space="0" w:color="auto"/>
            </w:tcBorders>
            <w:shd w:val="solid" w:color="auto" w:fill="auto"/>
          </w:tcPr>
          <w:p w:rsidR="00645B98" w:rsidRPr="0099701C" w:rsidRDefault="00645B98" w:rsidP="009C3A42">
            <w:pPr>
              <w:spacing w:after="0"/>
              <w:jc w:val="center"/>
              <w:rPr>
                <w:b/>
                <w:color w:val="FFFFFF" w:themeColor="background1"/>
                <w:sz w:val="22"/>
                <w:szCs w:val="22"/>
                <w:lang w:val="en-US"/>
              </w:rPr>
            </w:pPr>
            <w:r w:rsidRPr="0099701C">
              <w:rPr>
                <w:b/>
                <w:color w:val="FFFFFF" w:themeColor="background1"/>
                <w:sz w:val="22"/>
                <w:szCs w:val="22"/>
                <w:lang w:val="en-US"/>
              </w:rPr>
              <w:t>Performance</w:t>
            </w:r>
            <w:r w:rsidRPr="0099701C">
              <w:rPr>
                <w:rStyle w:val="FootnoteReference"/>
                <w:b/>
                <w:color w:val="FFFFFF" w:themeColor="background1"/>
                <w:sz w:val="22"/>
                <w:szCs w:val="22"/>
                <w:lang w:val="en-US"/>
              </w:rPr>
              <w:footnoteReference w:id="2"/>
            </w:r>
          </w:p>
        </w:tc>
      </w:tr>
      <w:tr w:rsidR="0075750F" w:rsidRPr="008016C3" w:rsidTr="00027504">
        <w:trPr>
          <w:tblHeader/>
        </w:trPr>
        <w:tc>
          <w:tcPr>
            <w:tcW w:w="14176" w:type="dxa"/>
            <w:gridSpan w:val="5"/>
            <w:shd w:val="pct10" w:color="auto" w:fill="auto"/>
          </w:tcPr>
          <w:p w:rsidR="0075750F" w:rsidRPr="008016C3" w:rsidRDefault="0075750F" w:rsidP="00645B98">
            <w:pPr>
              <w:spacing w:after="0"/>
              <w:jc w:val="center"/>
              <w:rPr>
                <w:b/>
                <w:i/>
                <w:sz w:val="22"/>
                <w:szCs w:val="22"/>
                <w:lang w:val="en-US"/>
              </w:rPr>
            </w:pPr>
            <w:r w:rsidRPr="008016C3">
              <w:rPr>
                <w:b/>
                <w:i/>
                <w:sz w:val="22"/>
                <w:szCs w:val="22"/>
                <w:lang w:val="en-US"/>
              </w:rPr>
              <w:t>Core SPC services (USD570k)</w:t>
            </w:r>
          </w:p>
        </w:tc>
      </w:tr>
      <w:tr w:rsidR="00645B98" w:rsidRPr="008016C3" w:rsidTr="00027504">
        <w:trPr>
          <w:tblHeader/>
        </w:trPr>
        <w:tc>
          <w:tcPr>
            <w:tcW w:w="14176" w:type="dxa"/>
            <w:gridSpan w:val="5"/>
            <w:shd w:val="pct10" w:color="auto" w:fill="auto"/>
          </w:tcPr>
          <w:p w:rsidR="00645B98" w:rsidRPr="008016C3" w:rsidRDefault="00645B98" w:rsidP="00645B98">
            <w:pPr>
              <w:spacing w:after="0"/>
              <w:jc w:val="center"/>
              <w:rPr>
                <w:b/>
                <w:i/>
                <w:sz w:val="22"/>
                <w:szCs w:val="22"/>
                <w:lang w:val="en-US"/>
              </w:rPr>
            </w:pPr>
            <w:r w:rsidRPr="008016C3">
              <w:rPr>
                <w:b/>
                <w:i/>
                <w:sz w:val="22"/>
                <w:szCs w:val="22"/>
                <w:lang w:val="en-US"/>
              </w:rPr>
              <w:t>Data management, statistical analyses and related services</w:t>
            </w:r>
          </w:p>
        </w:tc>
      </w:tr>
      <w:tr w:rsidR="0037444A" w:rsidRPr="008016C3" w:rsidTr="00FA422E">
        <w:trPr>
          <w:tblHeader/>
        </w:trPr>
        <w:tc>
          <w:tcPr>
            <w:tcW w:w="1098" w:type="dxa"/>
          </w:tcPr>
          <w:p w:rsidR="00404977" w:rsidRPr="008016C3" w:rsidRDefault="00404977" w:rsidP="00404977">
            <w:pPr>
              <w:spacing w:after="0"/>
              <w:jc w:val="center"/>
              <w:rPr>
                <w:b/>
                <w:sz w:val="22"/>
                <w:szCs w:val="22"/>
                <w:lang w:val="en-US"/>
              </w:rPr>
            </w:pPr>
            <w:r w:rsidRPr="008016C3">
              <w:rPr>
                <w:b/>
                <w:sz w:val="22"/>
                <w:szCs w:val="22"/>
                <w:lang w:val="en-US"/>
              </w:rPr>
              <w:t>i.</w:t>
            </w:r>
          </w:p>
          <w:p w:rsidR="00645B98" w:rsidRPr="008016C3" w:rsidRDefault="00404977" w:rsidP="00404977">
            <w:pPr>
              <w:spacing w:after="0"/>
              <w:jc w:val="center"/>
              <w:rPr>
                <w:b/>
                <w:sz w:val="22"/>
                <w:szCs w:val="22"/>
                <w:lang w:val="en-US"/>
              </w:rPr>
            </w:pPr>
            <w:r w:rsidRPr="008016C3">
              <w:rPr>
                <w:b/>
                <w:sz w:val="22"/>
                <w:szCs w:val="22"/>
                <w:lang w:val="en-US"/>
              </w:rPr>
              <w:t>(1)</w:t>
            </w:r>
          </w:p>
        </w:tc>
        <w:tc>
          <w:tcPr>
            <w:tcW w:w="7380" w:type="dxa"/>
            <w:vAlign w:val="center"/>
          </w:tcPr>
          <w:p w:rsidR="00645B98" w:rsidRPr="008016C3" w:rsidRDefault="00645B98" w:rsidP="008016C3">
            <w:pPr>
              <w:spacing w:after="0"/>
              <w:rPr>
                <w:b/>
                <w:i/>
                <w:sz w:val="22"/>
                <w:szCs w:val="22"/>
                <w:lang w:val="en-US"/>
              </w:rPr>
            </w:pPr>
            <w:r w:rsidRPr="008016C3">
              <w:rPr>
                <w:b/>
                <w:i/>
                <w:sz w:val="22"/>
                <w:szCs w:val="22"/>
                <w:lang w:val="en-US"/>
              </w:rPr>
              <w:t>Data Management</w:t>
            </w:r>
          </w:p>
        </w:tc>
        <w:tc>
          <w:tcPr>
            <w:tcW w:w="2520" w:type="dxa"/>
          </w:tcPr>
          <w:p w:rsidR="00645B98" w:rsidRPr="008016C3" w:rsidRDefault="00645B98" w:rsidP="001D1FA1">
            <w:pPr>
              <w:spacing w:after="0"/>
              <w:rPr>
                <w:sz w:val="22"/>
                <w:szCs w:val="22"/>
                <w:lang w:val="en-US"/>
              </w:rPr>
            </w:pPr>
          </w:p>
        </w:tc>
        <w:tc>
          <w:tcPr>
            <w:tcW w:w="1350" w:type="dxa"/>
          </w:tcPr>
          <w:p w:rsidR="00645B98" w:rsidRPr="008016C3" w:rsidRDefault="00645B98" w:rsidP="001D1FA1">
            <w:pPr>
              <w:spacing w:after="0"/>
              <w:rPr>
                <w:sz w:val="22"/>
                <w:szCs w:val="22"/>
                <w:lang w:val="en-US"/>
              </w:rPr>
            </w:pPr>
          </w:p>
        </w:tc>
        <w:tc>
          <w:tcPr>
            <w:tcW w:w="1828" w:type="dxa"/>
          </w:tcPr>
          <w:p w:rsidR="00645B98" w:rsidRPr="008016C3" w:rsidRDefault="00645B98" w:rsidP="001D1FA1">
            <w:pPr>
              <w:spacing w:after="0"/>
              <w:rPr>
                <w:sz w:val="22"/>
                <w:szCs w:val="22"/>
                <w:lang w:val="en-US"/>
              </w:rPr>
            </w:pPr>
          </w:p>
        </w:tc>
      </w:tr>
      <w:tr w:rsidR="0037444A" w:rsidRPr="008016C3" w:rsidTr="00FA422E">
        <w:trPr>
          <w:tblHeader/>
        </w:trPr>
        <w:tc>
          <w:tcPr>
            <w:tcW w:w="1098" w:type="dxa"/>
          </w:tcPr>
          <w:p w:rsidR="00645B98" w:rsidRPr="008016C3" w:rsidRDefault="00645B98" w:rsidP="00404977">
            <w:pPr>
              <w:spacing w:after="0"/>
              <w:jc w:val="center"/>
              <w:rPr>
                <w:sz w:val="22"/>
                <w:szCs w:val="22"/>
                <w:lang w:val="en-US"/>
              </w:rPr>
            </w:pPr>
          </w:p>
        </w:tc>
        <w:tc>
          <w:tcPr>
            <w:tcW w:w="7380" w:type="dxa"/>
          </w:tcPr>
          <w:p w:rsidR="00645B98" w:rsidRPr="008016C3" w:rsidRDefault="00897715" w:rsidP="00384198">
            <w:pPr>
              <w:pStyle w:val="ListParagraph"/>
              <w:spacing w:after="0"/>
              <w:ind w:left="0"/>
              <w:rPr>
                <w:sz w:val="22"/>
                <w:szCs w:val="22"/>
                <w:lang w:val="en-US"/>
              </w:rPr>
            </w:pPr>
            <w:r w:rsidRPr="008016C3">
              <w:rPr>
                <w:sz w:val="22"/>
                <w:szCs w:val="22"/>
                <w:lang w:val="en-US"/>
              </w:rPr>
              <w:t>1</w:t>
            </w:r>
            <w:r w:rsidR="00384198" w:rsidRPr="008016C3">
              <w:rPr>
                <w:sz w:val="22"/>
                <w:szCs w:val="22"/>
                <w:lang w:val="en-US"/>
              </w:rPr>
              <w:t xml:space="preserve">) </w:t>
            </w:r>
            <w:r w:rsidR="00645B98" w:rsidRPr="008016C3">
              <w:rPr>
                <w:sz w:val="22"/>
                <w:szCs w:val="22"/>
                <w:lang w:val="en-US"/>
              </w:rPr>
              <w:t>Incorporate data provided by Members, Cooperating Non-Members and Participating Territories (CCMs) under the Commission’s data provision policy into existing databases and facilitate access of Commission secretariat staff to those data as appropriate.</w:t>
            </w:r>
          </w:p>
        </w:tc>
        <w:tc>
          <w:tcPr>
            <w:tcW w:w="2520" w:type="dxa"/>
          </w:tcPr>
          <w:p w:rsidR="007C5238" w:rsidRPr="00DC365C" w:rsidRDefault="00903D40" w:rsidP="00DC365C">
            <w:pPr>
              <w:pStyle w:val="ListParagraph"/>
              <w:numPr>
                <w:ilvl w:val="0"/>
                <w:numId w:val="37"/>
              </w:numPr>
              <w:spacing w:after="0"/>
              <w:ind w:left="144" w:hanging="144"/>
              <w:rPr>
                <w:sz w:val="22"/>
                <w:szCs w:val="22"/>
                <w:lang w:val="en-US"/>
              </w:rPr>
            </w:pPr>
            <w:r w:rsidRPr="00DC365C">
              <w:rPr>
                <w:sz w:val="22"/>
                <w:szCs w:val="22"/>
                <w:lang w:val="en-US"/>
              </w:rPr>
              <w:t>Databases updated</w:t>
            </w:r>
          </w:p>
          <w:p w:rsidR="00903D40" w:rsidRPr="00DC365C" w:rsidRDefault="00903D40" w:rsidP="00DC365C">
            <w:pPr>
              <w:pStyle w:val="ListParagraph"/>
              <w:numPr>
                <w:ilvl w:val="0"/>
                <w:numId w:val="37"/>
              </w:numPr>
              <w:spacing w:after="0"/>
              <w:ind w:left="144" w:hanging="144"/>
              <w:rPr>
                <w:sz w:val="22"/>
                <w:szCs w:val="22"/>
                <w:lang w:val="en-US"/>
              </w:rPr>
            </w:pPr>
            <w:r w:rsidRPr="00DC365C">
              <w:rPr>
                <w:sz w:val="22"/>
                <w:szCs w:val="22"/>
                <w:lang w:val="en-US"/>
              </w:rPr>
              <w:t>Updated CES software installed at WCPFC headquarters</w:t>
            </w:r>
          </w:p>
          <w:p w:rsidR="00903D40" w:rsidRPr="00DC365C" w:rsidRDefault="00903D40" w:rsidP="00DC365C">
            <w:pPr>
              <w:pStyle w:val="ListParagraph"/>
              <w:numPr>
                <w:ilvl w:val="0"/>
                <w:numId w:val="37"/>
              </w:numPr>
              <w:spacing w:after="0"/>
              <w:ind w:left="144" w:hanging="144"/>
              <w:rPr>
                <w:sz w:val="22"/>
                <w:szCs w:val="22"/>
                <w:lang w:val="en-US"/>
              </w:rPr>
            </w:pPr>
            <w:r w:rsidRPr="00DC365C">
              <w:rPr>
                <w:sz w:val="22"/>
                <w:szCs w:val="22"/>
                <w:lang w:val="en-US"/>
              </w:rPr>
              <w:t>Staff training as required</w:t>
            </w:r>
          </w:p>
        </w:tc>
        <w:tc>
          <w:tcPr>
            <w:tcW w:w="1350" w:type="dxa"/>
          </w:tcPr>
          <w:p w:rsidR="00645B98" w:rsidRPr="008016C3" w:rsidRDefault="00DF479E" w:rsidP="001D1FA1">
            <w:pPr>
              <w:spacing w:after="0"/>
              <w:rPr>
                <w:sz w:val="22"/>
                <w:szCs w:val="22"/>
                <w:lang w:val="en-US"/>
              </w:rPr>
            </w:pPr>
            <w:r w:rsidRPr="008016C3">
              <w:rPr>
                <w:sz w:val="22"/>
                <w:szCs w:val="22"/>
                <w:lang w:val="en-US"/>
              </w:rPr>
              <w:t>January-December</w:t>
            </w:r>
          </w:p>
        </w:tc>
        <w:tc>
          <w:tcPr>
            <w:tcW w:w="1828" w:type="dxa"/>
          </w:tcPr>
          <w:p w:rsidR="00645B98" w:rsidRPr="008016C3" w:rsidRDefault="00645B98" w:rsidP="001D1FA1">
            <w:pPr>
              <w:spacing w:after="0"/>
              <w:rPr>
                <w:sz w:val="22"/>
                <w:szCs w:val="22"/>
                <w:lang w:val="en-US"/>
              </w:rPr>
            </w:pPr>
          </w:p>
        </w:tc>
      </w:tr>
      <w:tr w:rsidR="0037444A" w:rsidRPr="008016C3" w:rsidTr="0099701C">
        <w:trPr>
          <w:tblHeader/>
        </w:trPr>
        <w:tc>
          <w:tcPr>
            <w:tcW w:w="1098" w:type="dxa"/>
            <w:tcBorders>
              <w:bottom w:val="single" w:sz="4" w:space="0" w:color="auto"/>
            </w:tcBorders>
          </w:tcPr>
          <w:p w:rsidR="00645B98" w:rsidRPr="008016C3" w:rsidRDefault="00645B98" w:rsidP="00404977">
            <w:pPr>
              <w:spacing w:after="0"/>
              <w:jc w:val="center"/>
              <w:rPr>
                <w:sz w:val="22"/>
                <w:szCs w:val="22"/>
                <w:lang w:val="en-US"/>
              </w:rPr>
            </w:pPr>
          </w:p>
        </w:tc>
        <w:tc>
          <w:tcPr>
            <w:tcW w:w="7380" w:type="dxa"/>
            <w:tcBorders>
              <w:bottom w:val="single" w:sz="4" w:space="0" w:color="auto"/>
            </w:tcBorders>
          </w:tcPr>
          <w:p w:rsidR="00645B98" w:rsidRPr="008016C3" w:rsidRDefault="00897715" w:rsidP="00384198">
            <w:pPr>
              <w:pStyle w:val="ListParagraph"/>
              <w:ind w:left="0"/>
              <w:rPr>
                <w:sz w:val="22"/>
                <w:szCs w:val="22"/>
                <w:lang w:val="en-US"/>
              </w:rPr>
            </w:pPr>
            <w:r w:rsidRPr="008016C3">
              <w:rPr>
                <w:sz w:val="22"/>
                <w:szCs w:val="22"/>
                <w:lang w:val="en-US"/>
              </w:rPr>
              <w:t>2</w:t>
            </w:r>
            <w:r w:rsidR="00384198" w:rsidRPr="008016C3">
              <w:rPr>
                <w:sz w:val="22"/>
                <w:szCs w:val="22"/>
                <w:lang w:val="en-US"/>
              </w:rPr>
              <w:t xml:space="preserve">) </w:t>
            </w:r>
            <w:r w:rsidR="00903D40" w:rsidRPr="008016C3">
              <w:rPr>
                <w:sz w:val="22"/>
                <w:szCs w:val="22"/>
                <w:lang w:val="en-US"/>
              </w:rPr>
              <w:t>Determine the status of the provision of scientific data to the Commission</w:t>
            </w:r>
            <w:r w:rsidR="00426877" w:rsidRPr="008016C3">
              <w:rPr>
                <w:sz w:val="22"/>
                <w:szCs w:val="22"/>
                <w:lang w:val="en-US"/>
              </w:rPr>
              <w:t xml:space="preserve"> (CMM-2009-01, paragraphs 40-41)</w:t>
            </w:r>
          </w:p>
        </w:tc>
        <w:tc>
          <w:tcPr>
            <w:tcW w:w="2520" w:type="dxa"/>
            <w:tcBorders>
              <w:bottom w:val="single" w:sz="4" w:space="0" w:color="auto"/>
            </w:tcBorders>
          </w:tcPr>
          <w:p w:rsidR="00645B98" w:rsidRPr="00DC365C" w:rsidRDefault="00903D40" w:rsidP="00DC365C">
            <w:pPr>
              <w:pStyle w:val="ListParagraph"/>
              <w:numPr>
                <w:ilvl w:val="0"/>
                <w:numId w:val="38"/>
              </w:numPr>
              <w:spacing w:after="0"/>
              <w:ind w:left="144" w:hanging="144"/>
              <w:rPr>
                <w:sz w:val="22"/>
                <w:szCs w:val="22"/>
                <w:lang w:val="en-US"/>
              </w:rPr>
            </w:pPr>
            <w:r w:rsidRPr="00DC365C">
              <w:rPr>
                <w:sz w:val="22"/>
                <w:szCs w:val="22"/>
                <w:lang w:val="en-US"/>
              </w:rPr>
              <w:t>SC / TCC papers</w:t>
            </w:r>
          </w:p>
          <w:p w:rsidR="00903D40" w:rsidRPr="00DC365C" w:rsidRDefault="00903D40" w:rsidP="00DC365C">
            <w:pPr>
              <w:pStyle w:val="ListParagraph"/>
              <w:numPr>
                <w:ilvl w:val="0"/>
                <w:numId w:val="38"/>
              </w:numPr>
              <w:spacing w:after="0"/>
              <w:ind w:left="144" w:hanging="144"/>
              <w:rPr>
                <w:sz w:val="22"/>
                <w:szCs w:val="22"/>
                <w:lang w:val="en-US"/>
              </w:rPr>
            </w:pPr>
            <w:r w:rsidRPr="00DC365C">
              <w:rPr>
                <w:sz w:val="22"/>
                <w:szCs w:val="22"/>
                <w:lang w:val="en-US"/>
              </w:rPr>
              <w:t>Continued refinement of the web-based utility to identify data gaps</w:t>
            </w:r>
          </w:p>
        </w:tc>
        <w:tc>
          <w:tcPr>
            <w:tcW w:w="1350" w:type="dxa"/>
            <w:tcBorders>
              <w:bottom w:val="single" w:sz="4" w:space="0" w:color="auto"/>
            </w:tcBorders>
          </w:tcPr>
          <w:p w:rsidR="00645B98" w:rsidRPr="008016C3" w:rsidRDefault="00903D40" w:rsidP="00903D40">
            <w:pPr>
              <w:spacing w:after="0"/>
              <w:rPr>
                <w:sz w:val="22"/>
                <w:szCs w:val="22"/>
                <w:lang w:val="en-US"/>
              </w:rPr>
            </w:pPr>
            <w:r w:rsidRPr="008016C3">
              <w:rPr>
                <w:sz w:val="22"/>
                <w:szCs w:val="22"/>
                <w:lang w:val="en-US"/>
              </w:rPr>
              <w:t>Mid-July and mid-Sept</w:t>
            </w:r>
          </w:p>
        </w:tc>
        <w:tc>
          <w:tcPr>
            <w:tcW w:w="1828" w:type="dxa"/>
            <w:tcBorders>
              <w:bottom w:val="single" w:sz="4" w:space="0" w:color="auto"/>
            </w:tcBorders>
          </w:tcPr>
          <w:p w:rsidR="00645B98" w:rsidRPr="008016C3" w:rsidRDefault="00645B98" w:rsidP="001D1FA1">
            <w:pPr>
              <w:spacing w:after="0"/>
              <w:rPr>
                <w:sz w:val="22"/>
                <w:szCs w:val="22"/>
                <w:lang w:val="en-US"/>
              </w:rPr>
            </w:pPr>
          </w:p>
        </w:tc>
      </w:tr>
      <w:tr w:rsidR="0037444A" w:rsidRPr="008016C3" w:rsidTr="0099701C">
        <w:trPr>
          <w:tblHeader/>
        </w:trPr>
        <w:tc>
          <w:tcPr>
            <w:tcW w:w="1098" w:type="dxa"/>
            <w:shd w:val="clear" w:color="auto" w:fill="000000" w:themeFill="text1"/>
          </w:tcPr>
          <w:p w:rsidR="00903D40" w:rsidRPr="008016C3" w:rsidRDefault="00903D40" w:rsidP="00404977">
            <w:pPr>
              <w:spacing w:after="0"/>
              <w:jc w:val="center"/>
              <w:rPr>
                <w:sz w:val="22"/>
                <w:szCs w:val="22"/>
                <w:lang w:val="en-US"/>
              </w:rPr>
            </w:pPr>
          </w:p>
        </w:tc>
        <w:tc>
          <w:tcPr>
            <w:tcW w:w="7380" w:type="dxa"/>
            <w:shd w:val="clear" w:color="auto" w:fill="000000" w:themeFill="text1"/>
          </w:tcPr>
          <w:p w:rsidR="00903D40" w:rsidRPr="008016C3" w:rsidRDefault="00903D40" w:rsidP="001D1FA1">
            <w:pPr>
              <w:spacing w:after="0"/>
              <w:rPr>
                <w:sz w:val="22"/>
                <w:szCs w:val="22"/>
                <w:lang w:val="en-US"/>
              </w:rPr>
            </w:pPr>
          </w:p>
        </w:tc>
        <w:tc>
          <w:tcPr>
            <w:tcW w:w="2520" w:type="dxa"/>
            <w:shd w:val="clear" w:color="auto" w:fill="000000" w:themeFill="text1"/>
          </w:tcPr>
          <w:p w:rsidR="00903D40" w:rsidRPr="008016C3" w:rsidRDefault="00903D40" w:rsidP="001D1FA1">
            <w:pPr>
              <w:spacing w:after="0"/>
              <w:rPr>
                <w:sz w:val="22"/>
                <w:szCs w:val="22"/>
                <w:lang w:val="en-US"/>
              </w:rPr>
            </w:pPr>
          </w:p>
        </w:tc>
        <w:tc>
          <w:tcPr>
            <w:tcW w:w="1350" w:type="dxa"/>
            <w:shd w:val="clear" w:color="auto" w:fill="000000" w:themeFill="text1"/>
          </w:tcPr>
          <w:p w:rsidR="00903D40" w:rsidRPr="008016C3" w:rsidRDefault="00903D40" w:rsidP="001D1FA1">
            <w:pPr>
              <w:spacing w:after="0"/>
              <w:rPr>
                <w:sz w:val="22"/>
                <w:szCs w:val="22"/>
                <w:lang w:val="en-US"/>
              </w:rPr>
            </w:pPr>
          </w:p>
        </w:tc>
        <w:tc>
          <w:tcPr>
            <w:tcW w:w="1828" w:type="dxa"/>
            <w:shd w:val="clear" w:color="auto" w:fill="000000" w:themeFill="text1"/>
          </w:tcPr>
          <w:p w:rsidR="00903D40" w:rsidRPr="008016C3" w:rsidRDefault="00903D40" w:rsidP="001D1FA1">
            <w:pPr>
              <w:spacing w:after="0"/>
              <w:rPr>
                <w:sz w:val="22"/>
                <w:szCs w:val="22"/>
                <w:lang w:val="en-US"/>
              </w:rPr>
            </w:pPr>
          </w:p>
        </w:tc>
      </w:tr>
      <w:tr w:rsidR="0037444A" w:rsidRPr="008016C3" w:rsidTr="00FA422E">
        <w:trPr>
          <w:tblHeader/>
        </w:trPr>
        <w:tc>
          <w:tcPr>
            <w:tcW w:w="1098" w:type="dxa"/>
          </w:tcPr>
          <w:p w:rsidR="00404977" w:rsidRPr="008016C3" w:rsidRDefault="00404977" w:rsidP="00404977">
            <w:pPr>
              <w:spacing w:after="0"/>
              <w:jc w:val="center"/>
              <w:rPr>
                <w:b/>
                <w:sz w:val="22"/>
                <w:szCs w:val="22"/>
                <w:lang w:val="en-US"/>
              </w:rPr>
            </w:pPr>
            <w:r w:rsidRPr="008016C3">
              <w:rPr>
                <w:b/>
                <w:sz w:val="22"/>
                <w:szCs w:val="22"/>
                <w:lang w:val="en-US"/>
              </w:rPr>
              <w:t>ii.</w:t>
            </w:r>
          </w:p>
          <w:p w:rsidR="00645B98" w:rsidRPr="008016C3" w:rsidRDefault="00404977" w:rsidP="00404977">
            <w:pPr>
              <w:spacing w:after="0"/>
              <w:jc w:val="center"/>
              <w:rPr>
                <w:b/>
                <w:sz w:val="22"/>
                <w:szCs w:val="22"/>
                <w:lang w:val="en-US"/>
              </w:rPr>
            </w:pPr>
            <w:r w:rsidRPr="008016C3">
              <w:rPr>
                <w:b/>
                <w:sz w:val="22"/>
                <w:szCs w:val="22"/>
                <w:lang w:val="en-US"/>
              </w:rPr>
              <w:t>(2,3,6)</w:t>
            </w:r>
          </w:p>
        </w:tc>
        <w:tc>
          <w:tcPr>
            <w:tcW w:w="7380" w:type="dxa"/>
            <w:vAlign w:val="center"/>
          </w:tcPr>
          <w:p w:rsidR="00645B98" w:rsidRPr="008016C3" w:rsidRDefault="00645B98" w:rsidP="008016C3">
            <w:pPr>
              <w:spacing w:after="0"/>
              <w:rPr>
                <w:b/>
                <w:i/>
                <w:sz w:val="22"/>
                <w:szCs w:val="22"/>
                <w:lang w:val="en-US"/>
              </w:rPr>
            </w:pPr>
            <w:r w:rsidRPr="008016C3">
              <w:rPr>
                <w:b/>
                <w:i/>
                <w:sz w:val="22"/>
                <w:szCs w:val="22"/>
                <w:lang w:val="en-US"/>
              </w:rPr>
              <w:t>Compilation</w:t>
            </w:r>
            <w:r w:rsidR="00404977" w:rsidRPr="008016C3">
              <w:rPr>
                <w:b/>
                <w:i/>
                <w:sz w:val="22"/>
                <w:szCs w:val="22"/>
                <w:lang w:val="en-US"/>
              </w:rPr>
              <w:t xml:space="preserve"> of catch and effort estimates</w:t>
            </w:r>
          </w:p>
        </w:tc>
        <w:tc>
          <w:tcPr>
            <w:tcW w:w="2520" w:type="dxa"/>
          </w:tcPr>
          <w:p w:rsidR="00645B98" w:rsidRPr="008016C3" w:rsidRDefault="00645B98" w:rsidP="001D1FA1">
            <w:pPr>
              <w:spacing w:after="0"/>
              <w:rPr>
                <w:sz w:val="22"/>
                <w:szCs w:val="22"/>
                <w:lang w:val="en-US"/>
              </w:rPr>
            </w:pPr>
          </w:p>
        </w:tc>
        <w:tc>
          <w:tcPr>
            <w:tcW w:w="1350" w:type="dxa"/>
          </w:tcPr>
          <w:p w:rsidR="00645B98" w:rsidRPr="008016C3" w:rsidRDefault="00645B98" w:rsidP="001D1FA1">
            <w:pPr>
              <w:spacing w:after="0"/>
              <w:rPr>
                <w:sz w:val="22"/>
                <w:szCs w:val="22"/>
                <w:lang w:val="en-US"/>
              </w:rPr>
            </w:pPr>
          </w:p>
        </w:tc>
        <w:tc>
          <w:tcPr>
            <w:tcW w:w="1828" w:type="dxa"/>
          </w:tcPr>
          <w:p w:rsidR="00645B98" w:rsidRPr="008016C3" w:rsidRDefault="00645B98" w:rsidP="001D1FA1">
            <w:pPr>
              <w:spacing w:after="0"/>
              <w:rPr>
                <w:sz w:val="22"/>
                <w:szCs w:val="22"/>
                <w:lang w:val="en-US"/>
              </w:rPr>
            </w:pPr>
          </w:p>
        </w:tc>
      </w:tr>
      <w:tr w:rsidR="0037444A" w:rsidRPr="008016C3" w:rsidTr="00FA422E">
        <w:trPr>
          <w:tblHeader/>
        </w:trPr>
        <w:tc>
          <w:tcPr>
            <w:tcW w:w="1098" w:type="dxa"/>
          </w:tcPr>
          <w:p w:rsidR="00645B98" w:rsidRPr="008016C3" w:rsidRDefault="00645B98" w:rsidP="00404977">
            <w:pPr>
              <w:spacing w:after="0"/>
              <w:jc w:val="center"/>
              <w:rPr>
                <w:sz w:val="22"/>
                <w:szCs w:val="22"/>
                <w:lang w:val="en-US"/>
              </w:rPr>
            </w:pPr>
          </w:p>
        </w:tc>
        <w:tc>
          <w:tcPr>
            <w:tcW w:w="7380" w:type="dxa"/>
          </w:tcPr>
          <w:p w:rsidR="00645B98" w:rsidRPr="008016C3" w:rsidRDefault="00897715" w:rsidP="001D1FA1">
            <w:pPr>
              <w:spacing w:after="0"/>
              <w:rPr>
                <w:sz w:val="22"/>
                <w:szCs w:val="22"/>
                <w:lang w:val="en-US"/>
              </w:rPr>
            </w:pPr>
            <w:r w:rsidRPr="008016C3">
              <w:rPr>
                <w:sz w:val="22"/>
                <w:szCs w:val="22"/>
                <w:lang w:val="en-US"/>
              </w:rPr>
              <w:t xml:space="preserve">1) </w:t>
            </w:r>
            <w:r w:rsidR="00645B98" w:rsidRPr="008016C3">
              <w:rPr>
                <w:sz w:val="22"/>
                <w:szCs w:val="22"/>
                <w:lang w:val="en-US"/>
              </w:rPr>
              <w:t>Compile estimates of annual catches by species, gear type and flag, as specified in the procedures for Scientific Data to be Provided to the Commission AND in support of the functions of the Commission and its subsidiary bodies</w:t>
            </w:r>
          </w:p>
        </w:tc>
        <w:tc>
          <w:tcPr>
            <w:tcW w:w="2520" w:type="dxa"/>
          </w:tcPr>
          <w:p w:rsidR="00645B98" w:rsidRPr="008016C3" w:rsidRDefault="00645B98" w:rsidP="001D1FA1">
            <w:pPr>
              <w:spacing w:after="0"/>
              <w:rPr>
                <w:sz w:val="22"/>
                <w:szCs w:val="22"/>
                <w:lang w:val="en-US"/>
              </w:rPr>
            </w:pPr>
            <w:r w:rsidRPr="008016C3">
              <w:rPr>
                <w:sz w:val="22"/>
                <w:szCs w:val="22"/>
                <w:lang w:val="en-US"/>
              </w:rPr>
              <w:t>SC papers</w:t>
            </w:r>
          </w:p>
          <w:p w:rsidR="00645B98" w:rsidRPr="008016C3" w:rsidRDefault="00645B98" w:rsidP="001D1FA1">
            <w:pPr>
              <w:spacing w:after="0"/>
              <w:rPr>
                <w:sz w:val="22"/>
                <w:szCs w:val="22"/>
                <w:lang w:val="en-US"/>
              </w:rPr>
            </w:pPr>
          </w:p>
        </w:tc>
        <w:tc>
          <w:tcPr>
            <w:tcW w:w="1350" w:type="dxa"/>
          </w:tcPr>
          <w:p w:rsidR="00645B98" w:rsidRPr="008016C3" w:rsidRDefault="00404977" w:rsidP="00645B98">
            <w:pPr>
              <w:spacing w:after="0"/>
              <w:rPr>
                <w:sz w:val="22"/>
                <w:szCs w:val="22"/>
                <w:lang w:val="en-US"/>
              </w:rPr>
            </w:pPr>
            <w:r w:rsidRPr="008016C3">
              <w:rPr>
                <w:sz w:val="22"/>
                <w:szCs w:val="22"/>
                <w:lang w:val="en-US"/>
              </w:rPr>
              <w:t>M</w:t>
            </w:r>
            <w:r w:rsidR="00645B98" w:rsidRPr="008016C3">
              <w:rPr>
                <w:sz w:val="22"/>
                <w:szCs w:val="22"/>
                <w:lang w:val="en-US"/>
              </w:rPr>
              <w:t>id-July</w:t>
            </w:r>
          </w:p>
        </w:tc>
        <w:tc>
          <w:tcPr>
            <w:tcW w:w="1828" w:type="dxa"/>
          </w:tcPr>
          <w:p w:rsidR="00645B98" w:rsidRPr="008016C3" w:rsidRDefault="00645B98" w:rsidP="001D1FA1">
            <w:pPr>
              <w:spacing w:after="0"/>
              <w:rPr>
                <w:sz w:val="22"/>
                <w:szCs w:val="22"/>
                <w:lang w:val="en-US"/>
              </w:rPr>
            </w:pPr>
          </w:p>
        </w:tc>
      </w:tr>
      <w:tr w:rsidR="0037444A" w:rsidRPr="008016C3" w:rsidTr="00FA422E">
        <w:trPr>
          <w:tblHeader/>
        </w:trPr>
        <w:tc>
          <w:tcPr>
            <w:tcW w:w="1098" w:type="dxa"/>
          </w:tcPr>
          <w:p w:rsidR="00645B98" w:rsidRPr="008016C3" w:rsidRDefault="00645B98" w:rsidP="00404977">
            <w:pPr>
              <w:spacing w:after="0"/>
              <w:jc w:val="center"/>
              <w:rPr>
                <w:sz w:val="22"/>
                <w:szCs w:val="22"/>
                <w:lang w:val="en-US"/>
              </w:rPr>
            </w:pPr>
          </w:p>
        </w:tc>
        <w:tc>
          <w:tcPr>
            <w:tcW w:w="7380" w:type="dxa"/>
          </w:tcPr>
          <w:p w:rsidR="00645B98" w:rsidRPr="008016C3" w:rsidRDefault="00897715" w:rsidP="00645B98">
            <w:pPr>
              <w:spacing w:after="0"/>
              <w:rPr>
                <w:sz w:val="22"/>
                <w:szCs w:val="22"/>
                <w:lang w:val="en-US"/>
              </w:rPr>
            </w:pPr>
            <w:r w:rsidRPr="008016C3">
              <w:rPr>
                <w:sz w:val="22"/>
                <w:szCs w:val="22"/>
                <w:lang w:val="en-US"/>
              </w:rPr>
              <w:t xml:space="preserve">2) </w:t>
            </w:r>
            <w:r w:rsidR="00645B98" w:rsidRPr="008016C3">
              <w:rPr>
                <w:sz w:val="22"/>
                <w:szCs w:val="22"/>
                <w:lang w:val="en-US"/>
              </w:rPr>
              <w:t>Estimates of annual catches by vessel flag, EEZ, archipelagic waters, and IATTC/WCPFC overlap area for use in determining the catch component of the Commission’s assessed contributions</w:t>
            </w:r>
          </w:p>
        </w:tc>
        <w:tc>
          <w:tcPr>
            <w:tcW w:w="2520" w:type="dxa"/>
          </w:tcPr>
          <w:p w:rsidR="00645B98" w:rsidRPr="008016C3" w:rsidRDefault="00645B98" w:rsidP="001D1FA1">
            <w:pPr>
              <w:spacing w:after="0"/>
              <w:rPr>
                <w:sz w:val="22"/>
                <w:szCs w:val="22"/>
                <w:lang w:val="en-US"/>
              </w:rPr>
            </w:pPr>
            <w:r w:rsidRPr="008016C3">
              <w:rPr>
                <w:sz w:val="22"/>
                <w:szCs w:val="22"/>
                <w:lang w:val="en-US"/>
              </w:rPr>
              <w:t>Catch table</w:t>
            </w:r>
          </w:p>
        </w:tc>
        <w:tc>
          <w:tcPr>
            <w:tcW w:w="1350" w:type="dxa"/>
          </w:tcPr>
          <w:p w:rsidR="00645B98" w:rsidRPr="008016C3" w:rsidRDefault="00404977" w:rsidP="00BE17A0">
            <w:pPr>
              <w:spacing w:after="0"/>
              <w:rPr>
                <w:sz w:val="22"/>
                <w:szCs w:val="22"/>
                <w:lang w:val="en-US"/>
              </w:rPr>
            </w:pPr>
            <w:r w:rsidRPr="008016C3">
              <w:rPr>
                <w:sz w:val="22"/>
                <w:szCs w:val="22"/>
                <w:lang w:val="en-US"/>
              </w:rPr>
              <w:t>M</w:t>
            </w:r>
            <w:r w:rsidR="00645B98" w:rsidRPr="008016C3">
              <w:rPr>
                <w:sz w:val="22"/>
                <w:szCs w:val="22"/>
                <w:lang w:val="en-US"/>
              </w:rPr>
              <w:t>id-</w:t>
            </w:r>
            <w:r w:rsidR="00BE17A0" w:rsidRPr="008016C3">
              <w:rPr>
                <w:sz w:val="22"/>
                <w:szCs w:val="22"/>
                <w:lang w:val="en-US"/>
              </w:rPr>
              <w:t>Sept</w:t>
            </w:r>
          </w:p>
        </w:tc>
        <w:tc>
          <w:tcPr>
            <w:tcW w:w="1828" w:type="dxa"/>
          </w:tcPr>
          <w:p w:rsidR="00645B98" w:rsidRPr="008016C3" w:rsidRDefault="00645B98" w:rsidP="001D1FA1">
            <w:pPr>
              <w:spacing w:after="0"/>
              <w:rPr>
                <w:sz w:val="22"/>
                <w:szCs w:val="22"/>
                <w:lang w:val="en-US"/>
              </w:rPr>
            </w:pPr>
          </w:p>
        </w:tc>
      </w:tr>
      <w:tr w:rsidR="0037444A" w:rsidRPr="008016C3" w:rsidTr="0099701C">
        <w:trPr>
          <w:tblHeader/>
        </w:trPr>
        <w:tc>
          <w:tcPr>
            <w:tcW w:w="1098" w:type="dxa"/>
            <w:tcBorders>
              <w:bottom w:val="single" w:sz="4" w:space="0" w:color="auto"/>
            </w:tcBorders>
          </w:tcPr>
          <w:p w:rsidR="00645B98" w:rsidRPr="008016C3" w:rsidRDefault="00645B98" w:rsidP="00404977">
            <w:pPr>
              <w:spacing w:after="0"/>
              <w:jc w:val="center"/>
              <w:rPr>
                <w:sz w:val="22"/>
                <w:szCs w:val="22"/>
                <w:lang w:val="en-US"/>
              </w:rPr>
            </w:pPr>
          </w:p>
        </w:tc>
        <w:tc>
          <w:tcPr>
            <w:tcW w:w="7380" w:type="dxa"/>
            <w:tcBorders>
              <w:bottom w:val="single" w:sz="4" w:space="0" w:color="auto"/>
            </w:tcBorders>
          </w:tcPr>
          <w:p w:rsidR="00645B98" w:rsidRPr="008016C3" w:rsidRDefault="00897715" w:rsidP="00BE17A0">
            <w:pPr>
              <w:spacing w:after="0"/>
              <w:rPr>
                <w:sz w:val="22"/>
                <w:szCs w:val="22"/>
                <w:lang w:val="en-US"/>
              </w:rPr>
            </w:pPr>
            <w:r w:rsidRPr="008016C3">
              <w:rPr>
                <w:sz w:val="22"/>
                <w:szCs w:val="22"/>
                <w:lang w:val="en-US"/>
              </w:rPr>
              <w:t xml:space="preserve">3) </w:t>
            </w:r>
            <w:r w:rsidR="00404977" w:rsidRPr="008016C3">
              <w:rPr>
                <w:sz w:val="22"/>
                <w:szCs w:val="22"/>
                <w:lang w:val="en-US"/>
              </w:rPr>
              <w:t>For catches for which estimates are not otherwise available, conduct statistical analyses to estimate catches, particularly in regard to (a) purse-seine catches of bigeye tuna and yellowfin tuna, (b) discards of target tuna species, and (</w:t>
            </w:r>
            <w:r w:rsidR="00BE17A0" w:rsidRPr="008016C3">
              <w:rPr>
                <w:sz w:val="22"/>
                <w:szCs w:val="22"/>
                <w:lang w:val="en-US"/>
              </w:rPr>
              <w:t>c) catches of non-target species</w:t>
            </w:r>
          </w:p>
        </w:tc>
        <w:tc>
          <w:tcPr>
            <w:tcW w:w="2520" w:type="dxa"/>
            <w:tcBorders>
              <w:bottom w:val="single" w:sz="4" w:space="0" w:color="auto"/>
            </w:tcBorders>
          </w:tcPr>
          <w:p w:rsidR="00645B98" w:rsidRPr="008016C3" w:rsidRDefault="00404977" w:rsidP="001D1FA1">
            <w:pPr>
              <w:spacing w:after="0"/>
              <w:rPr>
                <w:sz w:val="22"/>
                <w:szCs w:val="22"/>
                <w:lang w:val="en-US"/>
              </w:rPr>
            </w:pPr>
            <w:r w:rsidRPr="008016C3">
              <w:rPr>
                <w:sz w:val="22"/>
                <w:szCs w:val="22"/>
                <w:lang w:val="en-US"/>
              </w:rPr>
              <w:t>SC papers</w:t>
            </w:r>
          </w:p>
        </w:tc>
        <w:tc>
          <w:tcPr>
            <w:tcW w:w="1350" w:type="dxa"/>
            <w:tcBorders>
              <w:bottom w:val="single" w:sz="4" w:space="0" w:color="auto"/>
            </w:tcBorders>
          </w:tcPr>
          <w:p w:rsidR="00645B98" w:rsidRPr="008016C3" w:rsidRDefault="00404977" w:rsidP="001D1FA1">
            <w:pPr>
              <w:spacing w:after="0"/>
              <w:rPr>
                <w:sz w:val="22"/>
                <w:szCs w:val="22"/>
                <w:lang w:val="en-US"/>
              </w:rPr>
            </w:pPr>
            <w:r w:rsidRPr="008016C3">
              <w:rPr>
                <w:sz w:val="22"/>
                <w:szCs w:val="22"/>
                <w:lang w:val="en-US"/>
              </w:rPr>
              <w:t>Mid-July</w:t>
            </w:r>
          </w:p>
        </w:tc>
        <w:tc>
          <w:tcPr>
            <w:tcW w:w="1828" w:type="dxa"/>
            <w:tcBorders>
              <w:bottom w:val="single" w:sz="4" w:space="0" w:color="auto"/>
            </w:tcBorders>
          </w:tcPr>
          <w:p w:rsidR="00645B98" w:rsidRPr="008016C3" w:rsidRDefault="00645B98" w:rsidP="001D1FA1">
            <w:pPr>
              <w:spacing w:after="0"/>
              <w:rPr>
                <w:sz w:val="22"/>
                <w:szCs w:val="22"/>
                <w:lang w:val="en-US"/>
              </w:rPr>
            </w:pPr>
          </w:p>
        </w:tc>
      </w:tr>
      <w:tr w:rsidR="0037444A" w:rsidRPr="008016C3" w:rsidTr="0099701C">
        <w:trPr>
          <w:tblHeader/>
        </w:trPr>
        <w:tc>
          <w:tcPr>
            <w:tcW w:w="1098" w:type="dxa"/>
            <w:shd w:val="clear" w:color="auto" w:fill="000000" w:themeFill="text1"/>
          </w:tcPr>
          <w:p w:rsidR="00404977" w:rsidRPr="008016C3" w:rsidRDefault="00404977" w:rsidP="00404977">
            <w:pPr>
              <w:spacing w:after="0"/>
              <w:jc w:val="center"/>
              <w:rPr>
                <w:sz w:val="22"/>
                <w:szCs w:val="22"/>
                <w:lang w:val="en-US"/>
              </w:rPr>
            </w:pPr>
          </w:p>
        </w:tc>
        <w:tc>
          <w:tcPr>
            <w:tcW w:w="7380" w:type="dxa"/>
            <w:shd w:val="clear" w:color="auto" w:fill="000000" w:themeFill="text1"/>
          </w:tcPr>
          <w:p w:rsidR="00404977" w:rsidRPr="008016C3" w:rsidRDefault="00404977" w:rsidP="001D1FA1">
            <w:pPr>
              <w:spacing w:after="0"/>
              <w:rPr>
                <w:sz w:val="22"/>
                <w:szCs w:val="22"/>
                <w:lang w:val="en-US"/>
              </w:rPr>
            </w:pPr>
          </w:p>
        </w:tc>
        <w:tc>
          <w:tcPr>
            <w:tcW w:w="2520" w:type="dxa"/>
            <w:shd w:val="clear" w:color="auto" w:fill="000000" w:themeFill="text1"/>
          </w:tcPr>
          <w:p w:rsidR="00404977" w:rsidRPr="008016C3" w:rsidRDefault="00404977" w:rsidP="001D1FA1">
            <w:pPr>
              <w:spacing w:after="0"/>
              <w:rPr>
                <w:sz w:val="22"/>
                <w:szCs w:val="22"/>
                <w:lang w:val="en-US"/>
              </w:rPr>
            </w:pPr>
          </w:p>
        </w:tc>
        <w:tc>
          <w:tcPr>
            <w:tcW w:w="1350" w:type="dxa"/>
            <w:shd w:val="clear" w:color="auto" w:fill="000000" w:themeFill="text1"/>
          </w:tcPr>
          <w:p w:rsidR="00404977" w:rsidRPr="008016C3" w:rsidRDefault="00404977" w:rsidP="001D1FA1">
            <w:pPr>
              <w:spacing w:after="0"/>
              <w:rPr>
                <w:sz w:val="22"/>
                <w:szCs w:val="22"/>
                <w:lang w:val="en-US"/>
              </w:rPr>
            </w:pPr>
          </w:p>
        </w:tc>
        <w:tc>
          <w:tcPr>
            <w:tcW w:w="1828" w:type="dxa"/>
            <w:shd w:val="clear" w:color="auto" w:fill="000000" w:themeFill="text1"/>
          </w:tcPr>
          <w:p w:rsidR="00404977" w:rsidRPr="008016C3" w:rsidRDefault="00404977" w:rsidP="001D1FA1">
            <w:pPr>
              <w:spacing w:after="0"/>
              <w:rPr>
                <w:sz w:val="22"/>
                <w:szCs w:val="22"/>
                <w:lang w:val="en-US"/>
              </w:rPr>
            </w:pPr>
          </w:p>
        </w:tc>
      </w:tr>
      <w:tr w:rsidR="0037444A" w:rsidRPr="008016C3" w:rsidTr="00FA422E">
        <w:trPr>
          <w:tblHeader/>
        </w:trPr>
        <w:tc>
          <w:tcPr>
            <w:tcW w:w="1098" w:type="dxa"/>
          </w:tcPr>
          <w:p w:rsidR="00404977" w:rsidRPr="008016C3" w:rsidRDefault="00404977" w:rsidP="00404977">
            <w:pPr>
              <w:spacing w:after="0"/>
              <w:jc w:val="center"/>
              <w:rPr>
                <w:b/>
                <w:sz w:val="22"/>
                <w:szCs w:val="22"/>
                <w:lang w:val="en-US"/>
              </w:rPr>
            </w:pPr>
            <w:r w:rsidRPr="008016C3">
              <w:rPr>
                <w:b/>
                <w:sz w:val="22"/>
                <w:szCs w:val="22"/>
                <w:lang w:val="en-US"/>
              </w:rPr>
              <w:t>iii.</w:t>
            </w:r>
          </w:p>
          <w:p w:rsidR="00404977" w:rsidRPr="008016C3" w:rsidRDefault="00404977" w:rsidP="00404977">
            <w:pPr>
              <w:spacing w:after="0"/>
              <w:jc w:val="center"/>
              <w:rPr>
                <w:b/>
                <w:sz w:val="22"/>
                <w:szCs w:val="22"/>
                <w:lang w:val="en-US"/>
              </w:rPr>
            </w:pPr>
            <w:r w:rsidRPr="008016C3">
              <w:rPr>
                <w:b/>
                <w:sz w:val="22"/>
                <w:szCs w:val="22"/>
                <w:lang w:val="en-US"/>
              </w:rPr>
              <w:t>(4,5,7)</w:t>
            </w:r>
          </w:p>
        </w:tc>
        <w:tc>
          <w:tcPr>
            <w:tcW w:w="7380" w:type="dxa"/>
            <w:vAlign w:val="center"/>
          </w:tcPr>
          <w:p w:rsidR="00404977" w:rsidRPr="008016C3" w:rsidRDefault="00404977" w:rsidP="008016C3">
            <w:pPr>
              <w:spacing w:after="0"/>
              <w:rPr>
                <w:b/>
                <w:i/>
                <w:sz w:val="22"/>
                <w:szCs w:val="22"/>
                <w:lang w:val="en-US"/>
              </w:rPr>
            </w:pPr>
            <w:r w:rsidRPr="008016C3">
              <w:rPr>
                <w:b/>
                <w:i/>
                <w:sz w:val="22"/>
                <w:szCs w:val="22"/>
                <w:lang w:val="en-US"/>
              </w:rPr>
              <w:t>Data dissemination</w:t>
            </w:r>
          </w:p>
        </w:tc>
        <w:tc>
          <w:tcPr>
            <w:tcW w:w="2520" w:type="dxa"/>
          </w:tcPr>
          <w:p w:rsidR="00404977" w:rsidRPr="008016C3" w:rsidRDefault="00404977" w:rsidP="001D1FA1">
            <w:pPr>
              <w:spacing w:after="0"/>
              <w:rPr>
                <w:sz w:val="22"/>
                <w:szCs w:val="22"/>
                <w:lang w:val="en-US"/>
              </w:rPr>
            </w:pPr>
          </w:p>
        </w:tc>
        <w:tc>
          <w:tcPr>
            <w:tcW w:w="1350" w:type="dxa"/>
          </w:tcPr>
          <w:p w:rsidR="00404977" w:rsidRPr="008016C3" w:rsidRDefault="00404977" w:rsidP="001D1FA1">
            <w:pPr>
              <w:spacing w:after="0"/>
              <w:rPr>
                <w:sz w:val="22"/>
                <w:szCs w:val="22"/>
                <w:lang w:val="en-US"/>
              </w:rPr>
            </w:pPr>
          </w:p>
        </w:tc>
        <w:tc>
          <w:tcPr>
            <w:tcW w:w="1828" w:type="dxa"/>
          </w:tcPr>
          <w:p w:rsidR="00404977" w:rsidRPr="008016C3" w:rsidRDefault="00404977" w:rsidP="001D1FA1">
            <w:pPr>
              <w:spacing w:after="0"/>
              <w:rPr>
                <w:sz w:val="22"/>
                <w:szCs w:val="22"/>
                <w:lang w:val="en-US"/>
              </w:rPr>
            </w:pPr>
          </w:p>
        </w:tc>
      </w:tr>
      <w:tr w:rsidR="0037444A" w:rsidRPr="008016C3" w:rsidTr="00FA422E">
        <w:trPr>
          <w:tblHeader/>
        </w:trPr>
        <w:tc>
          <w:tcPr>
            <w:tcW w:w="1098" w:type="dxa"/>
          </w:tcPr>
          <w:p w:rsidR="00404977" w:rsidRPr="008016C3" w:rsidRDefault="00404977" w:rsidP="00404977">
            <w:pPr>
              <w:spacing w:after="0"/>
              <w:jc w:val="center"/>
              <w:rPr>
                <w:sz w:val="22"/>
                <w:szCs w:val="22"/>
                <w:lang w:val="en-US"/>
              </w:rPr>
            </w:pPr>
          </w:p>
        </w:tc>
        <w:tc>
          <w:tcPr>
            <w:tcW w:w="7380" w:type="dxa"/>
          </w:tcPr>
          <w:p w:rsidR="00404977" w:rsidRPr="008016C3" w:rsidRDefault="00897715" w:rsidP="00404977">
            <w:pPr>
              <w:spacing w:after="0"/>
              <w:rPr>
                <w:sz w:val="22"/>
                <w:szCs w:val="22"/>
                <w:lang w:val="en-US"/>
              </w:rPr>
            </w:pPr>
            <w:r w:rsidRPr="008016C3">
              <w:rPr>
                <w:sz w:val="22"/>
                <w:szCs w:val="22"/>
                <w:lang w:val="en-US"/>
              </w:rPr>
              <w:t xml:space="preserve">1) </w:t>
            </w:r>
            <w:r w:rsidR="00404977" w:rsidRPr="008016C3">
              <w:rPr>
                <w:sz w:val="22"/>
                <w:szCs w:val="22"/>
                <w:lang w:val="en-US"/>
              </w:rPr>
              <w:t>Produce and publish on the Commission’s website the Tuna Fishery Yearbook, containing annual catch estimates by gear type, flag and species.</w:t>
            </w:r>
          </w:p>
        </w:tc>
        <w:tc>
          <w:tcPr>
            <w:tcW w:w="2520" w:type="dxa"/>
          </w:tcPr>
          <w:p w:rsidR="00404977" w:rsidRPr="008016C3" w:rsidRDefault="00404977" w:rsidP="001D1FA1">
            <w:pPr>
              <w:spacing w:after="0"/>
              <w:rPr>
                <w:sz w:val="22"/>
                <w:szCs w:val="22"/>
                <w:lang w:val="en-US"/>
              </w:rPr>
            </w:pPr>
            <w:r w:rsidRPr="008016C3">
              <w:rPr>
                <w:sz w:val="22"/>
                <w:szCs w:val="22"/>
                <w:lang w:val="en-US"/>
              </w:rPr>
              <w:t>Yearbook published on WCPFC website</w:t>
            </w:r>
          </w:p>
        </w:tc>
        <w:tc>
          <w:tcPr>
            <w:tcW w:w="1350" w:type="dxa"/>
          </w:tcPr>
          <w:p w:rsidR="00404977" w:rsidRPr="008016C3" w:rsidRDefault="00404977" w:rsidP="0058518C">
            <w:pPr>
              <w:spacing w:after="0"/>
              <w:rPr>
                <w:sz w:val="22"/>
                <w:szCs w:val="22"/>
                <w:lang w:val="en-US"/>
              </w:rPr>
            </w:pPr>
            <w:r w:rsidRPr="008016C3">
              <w:rPr>
                <w:sz w:val="22"/>
                <w:szCs w:val="22"/>
                <w:lang w:val="en-US"/>
              </w:rPr>
              <w:t>Dec</w:t>
            </w:r>
          </w:p>
        </w:tc>
        <w:tc>
          <w:tcPr>
            <w:tcW w:w="1828" w:type="dxa"/>
          </w:tcPr>
          <w:p w:rsidR="00404977" w:rsidRPr="008016C3" w:rsidRDefault="00404977" w:rsidP="001D1FA1">
            <w:pPr>
              <w:spacing w:after="0"/>
              <w:rPr>
                <w:sz w:val="22"/>
                <w:szCs w:val="22"/>
                <w:lang w:val="en-US"/>
              </w:rPr>
            </w:pPr>
          </w:p>
        </w:tc>
      </w:tr>
      <w:tr w:rsidR="0037444A" w:rsidRPr="008016C3" w:rsidTr="0099701C">
        <w:trPr>
          <w:tblHeader/>
        </w:trPr>
        <w:tc>
          <w:tcPr>
            <w:tcW w:w="1098" w:type="dxa"/>
            <w:tcBorders>
              <w:bottom w:val="single" w:sz="4" w:space="0" w:color="auto"/>
            </w:tcBorders>
          </w:tcPr>
          <w:p w:rsidR="00404977" w:rsidRPr="008016C3" w:rsidRDefault="00404977" w:rsidP="00404977">
            <w:pPr>
              <w:spacing w:after="0"/>
              <w:jc w:val="center"/>
              <w:rPr>
                <w:sz w:val="22"/>
                <w:szCs w:val="22"/>
                <w:lang w:val="en-US"/>
              </w:rPr>
            </w:pPr>
          </w:p>
        </w:tc>
        <w:tc>
          <w:tcPr>
            <w:tcW w:w="7380" w:type="dxa"/>
            <w:tcBorders>
              <w:bottom w:val="single" w:sz="4" w:space="0" w:color="auto"/>
            </w:tcBorders>
          </w:tcPr>
          <w:p w:rsidR="00404977" w:rsidRPr="008016C3" w:rsidRDefault="00897715" w:rsidP="001D1FA1">
            <w:pPr>
              <w:spacing w:after="0"/>
              <w:rPr>
                <w:sz w:val="22"/>
                <w:szCs w:val="22"/>
                <w:lang w:val="en-US"/>
              </w:rPr>
            </w:pPr>
            <w:r w:rsidRPr="008016C3">
              <w:rPr>
                <w:sz w:val="22"/>
                <w:szCs w:val="22"/>
                <w:lang w:val="en-US"/>
              </w:rPr>
              <w:t xml:space="preserve">2) </w:t>
            </w:r>
            <w:r w:rsidR="00404977" w:rsidRPr="008016C3">
              <w:rPr>
                <w:sz w:val="22"/>
                <w:szCs w:val="22"/>
                <w:lang w:val="en-US"/>
              </w:rPr>
              <w:t>Disseminate public domain catch, effort and size data on the Commission’s website at agreed level of resolution.</w:t>
            </w:r>
          </w:p>
        </w:tc>
        <w:tc>
          <w:tcPr>
            <w:tcW w:w="2520" w:type="dxa"/>
            <w:tcBorders>
              <w:bottom w:val="single" w:sz="4" w:space="0" w:color="auto"/>
            </w:tcBorders>
          </w:tcPr>
          <w:p w:rsidR="00404977" w:rsidRPr="008016C3" w:rsidRDefault="00404977" w:rsidP="001D1FA1">
            <w:pPr>
              <w:spacing w:after="0"/>
              <w:rPr>
                <w:sz w:val="22"/>
                <w:szCs w:val="22"/>
                <w:lang w:val="en-US"/>
              </w:rPr>
            </w:pPr>
          </w:p>
        </w:tc>
        <w:tc>
          <w:tcPr>
            <w:tcW w:w="1350" w:type="dxa"/>
            <w:tcBorders>
              <w:bottom w:val="single" w:sz="4" w:space="0" w:color="auto"/>
            </w:tcBorders>
          </w:tcPr>
          <w:p w:rsidR="00404977" w:rsidRPr="008016C3" w:rsidRDefault="00DF479E" w:rsidP="000F53C9">
            <w:pPr>
              <w:spacing w:after="0"/>
              <w:rPr>
                <w:sz w:val="22"/>
                <w:szCs w:val="22"/>
                <w:lang w:val="en-US"/>
              </w:rPr>
            </w:pPr>
            <w:r w:rsidRPr="008016C3">
              <w:rPr>
                <w:sz w:val="22"/>
                <w:szCs w:val="22"/>
                <w:lang w:val="en-US"/>
              </w:rPr>
              <w:t>Jan</w:t>
            </w:r>
            <w:r w:rsidR="000F53C9" w:rsidRPr="008016C3">
              <w:rPr>
                <w:sz w:val="22"/>
                <w:szCs w:val="22"/>
                <w:lang w:val="en-US"/>
              </w:rPr>
              <w:t xml:space="preserve"> </w:t>
            </w:r>
            <w:r w:rsidRPr="008016C3">
              <w:rPr>
                <w:sz w:val="22"/>
                <w:szCs w:val="22"/>
                <w:lang w:val="en-US"/>
              </w:rPr>
              <w:t>-</w:t>
            </w:r>
            <w:r w:rsidR="000F53C9" w:rsidRPr="008016C3">
              <w:rPr>
                <w:sz w:val="22"/>
                <w:szCs w:val="22"/>
                <w:lang w:val="en-US"/>
              </w:rPr>
              <w:t xml:space="preserve"> </w:t>
            </w:r>
            <w:r w:rsidRPr="008016C3">
              <w:rPr>
                <w:sz w:val="22"/>
                <w:szCs w:val="22"/>
                <w:lang w:val="en-US"/>
              </w:rPr>
              <w:t>Dec</w:t>
            </w:r>
          </w:p>
        </w:tc>
        <w:tc>
          <w:tcPr>
            <w:tcW w:w="1828" w:type="dxa"/>
            <w:tcBorders>
              <w:bottom w:val="single" w:sz="4" w:space="0" w:color="auto"/>
            </w:tcBorders>
          </w:tcPr>
          <w:p w:rsidR="00404977" w:rsidRPr="008016C3" w:rsidRDefault="00404977" w:rsidP="001D1FA1">
            <w:pPr>
              <w:spacing w:after="0"/>
              <w:rPr>
                <w:sz w:val="22"/>
                <w:szCs w:val="22"/>
                <w:lang w:val="en-US"/>
              </w:rPr>
            </w:pPr>
          </w:p>
        </w:tc>
      </w:tr>
      <w:tr w:rsidR="0037444A" w:rsidRPr="008016C3" w:rsidTr="0099701C">
        <w:trPr>
          <w:tblHeader/>
        </w:trPr>
        <w:tc>
          <w:tcPr>
            <w:tcW w:w="1098" w:type="dxa"/>
            <w:shd w:val="clear" w:color="auto" w:fill="000000" w:themeFill="text1"/>
          </w:tcPr>
          <w:p w:rsidR="00404977" w:rsidRPr="008016C3" w:rsidRDefault="00404977" w:rsidP="00404977">
            <w:pPr>
              <w:spacing w:after="0"/>
              <w:jc w:val="center"/>
              <w:rPr>
                <w:sz w:val="22"/>
                <w:szCs w:val="22"/>
                <w:lang w:val="en-US"/>
              </w:rPr>
            </w:pPr>
          </w:p>
        </w:tc>
        <w:tc>
          <w:tcPr>
            <w:tcW w:w="7380" w:type="dxa"/>
            <w:shd w:val="clear" w:color="auto" w:fill="000000" w:themeFill="text1"/>
          </w:tcPr>
          <w:p w:rsidR="00404977" w:rsidRPr="008016C3" w:rsidRDefault="00404977" w:rsidP="001D1FA1">
            <w:pPr>
              <w:spacing w:after="0"/>
              <w:rPr>
                <w:sz w:val="22"/>
                <w:szCs w:val="22"/>
                <w:lang w:val="en-US"/>
              </w:rPr>
            </w:pPr>
          </w:p>
        </w:tc>
        <w:tc>
          <w:tcPr>
            <w:tcW w:w="2520" w:type="dxa"/>
            <w:shd w:val="clear" w:color="auto" w:fill="000000" w:themeFill="text1"/>
          </w:tcPr>
          <w:p w:rsidR="00404977" w:rsidRPr="008016C3" w:rsidRDefault="00404977" w:rsidP="001D1FA1">
            <w:pPr>
              <w:spacing w:after="0"/>
              <w:rPr>
                <w:sz w:val="22"/>
                <w:szCs w:val="22"/>
                <w:lang w:val="en-US"/>
              </w:rPr>
            </w:pPr>
          </w:p>
        </w:tc>
        <w:tc>
          <w:tcPr>
            <w:tcW w:w="1350" w:type="dxa"/>
            <w:shd w:val="clear" w:color="auto" w:fill="000000" w:themeFill="text1"/>
          </w:tcPr>
          <w:p w:rsidR="00404977" w:rsidRPr="008016C3" w:rsidRDefault="00404977" w:rsidP="001D1FA1">
            <w:pPr>
              <w:spacing w:after="0"/>
              <w:rPr>
                <w:sz w:val="22"/>
                <w:szCs w:val="22"/>
                <w:lang w:val="en-US"/>
              </w:rPr>
            </w:pPr>
          </w:p>
        </w:tc>
        <w:tc>
          <w:tcPr>
            <w:tcW w:w="1828" w:type="dxa"/>
            <w:shd w:val="clear" w:color="auto" w:fill="000000" w:themeFill="text1"/>
          </w:tcPr>
          <w:p w:rsidR="00404977" w:rsidRPr="008016C3" w:rsidRDefault="00404977" w:rsidP="001D1FA1">
            <w:pPr>
              <w:spacing w:after="0"/>
              <w:rPr>
                <w:sz w:val="22"/>
                <w:szCs w:val="22"/>
                <w:lang w:val="en-US"/>
              </w:rPr>
            </w:pPr>
          </w:p>
        </w:tc>
      </w:tr>
      <w:tr w:rsidR="0037444A" w:rsidRPr="008016C3" w:rsidTr="00FA422E">
        <w:trPr>
          <w:tblHeader/>
        </w:trPr>
        <w:tc>
          <w:tcPr>
            <w:tcW w:w="1098" w:type="dxa"/>
          </w:tcPr>
          <w:p w:rsidR="00404977" w:rsidRPr="008016C3" w:rsidRDefault="00903D40" w:rsidP="00404977">
            <w:pPr>
              <w:spacing w:after="0"/>
              <w:jc w:val="center"/>
              <w:rPr>
                <w:b/>
                <w:sz w:val="22"/>
                <w:szCs w:val="22"/>
                <w:lang w:val="en-US"/>
              </w:rPr>
            </w:pPr>
            <w:r w:rsidRPr="008016C3">
              <w:rPr>
                <w:b/>
                <w:sz w:val="22"/>
                <w:szCs w:val="22"/>
                <w:lang w:val="en-US"/>
              </w:rPr>
              <w:t>iv.</w:t>
            </w:r>
          </w:p>
          <w:p w:rsidR="00903D40" w:rsidRPr="008016C3" w:rsidRDefault="00903D40" w:rsidP="00404977">
            <w:pPr>
              <w:spacing w:after="0"/>
              <w:jc w:val="center"/>
              <w:rPr>
                <w:b/>
                <w:sz w:val="22"/>
                <w:szCs w:val="22"/>
                <w:lang w:val="en-US"/>
              </w:rPr>
            </w:pPr>
            <w:r w:rsidRPr="008016C3">
              <w:rPr>
                <w:b/>
                <w:sz w:val="22"/>
                <w:szCs w:val="22"/>
                <w:lang w:val="en-US"/>
              </w:rPr>
              <w:t>(9)</w:t>
            </w:r>
          </w:p>
        </w:tc>
        <w:tc>
          <w:tcPr>
            <w:tcW w:w="7380" w:type="dxa"/>
            <w:vAlign w:val="center"/>
          </w:tcPr>
          <w:p w:rsidR="00404977" w:rsidRPr="008016C3" w:rsidRDefault="00903D40" w:rsidP="008016C3">
            <w:pPr>
              <w:spacing w:after="0"/>
              <w:rPr>
                <w:b/>
                <w:i/>
                <w:sz w:val="22"/>
                <w:szCs w:val="22"/>
                <w:lang w:val="en-US"/>
              </w:rPr>
            </w:pPr>
            <w:r w:rsidRPr="008016C3">
              <w:rPr>
                <w:b/>
                <w:i/>
                <w:sz w:val="22"/>
                <w:szCs w:val="22"/>
                <w:lang w:val="en-US"/>
              </w:rPr>
              <w:t xml:space="preserve">Technical </w:t>
            </w:r>
            <w:r w:rsidR="009327FC" w:rsidRPr="008016C3">
              <w:rPr>
                <w:b/>
                <w:i/>
                <w:sz w:val="22"/>
                <w:szCs w:val="22"/>
                <w:lang w:val="en-US"/>
              </w:rPr>
              <w:t xml:space="preserve">/ policy </w:t>
            </w:r>
            <w:r w:rsidRPr="008016C3">
              <w:rPr>
                <w:b/>
                <w:i/>
                <w:sz w:val="22"/>
                <w:szCs w:val="22"/>
                <w:lang w:val="en-US"/>
              </w:rPr>
              <w:t>advice</w:t>
            </w:r>
          </w:p>
        </w:tc>
        <w:tc>
          <w:tcPr>
            <w:tcW w:w="2520" w:type="dxa"/>
          </w:tcPr>
          <w:p w:rsidR="00404977" w:rsidRPr="008016C3" w:rsidRDefault="00404977" w:rsidP="001D1FA1">
            <w:pPr>
              <w:spacing w:after="0"/>
              <w:rPr>
                <w:sz w:val="22"/>
                <w:szCs w:val="22"/>
                <w:lang w:val="en-US"/>
              </w:rPr>
            </w:pPr>
          </w:p>
        </w:tc>
        <w:tc>
          <w:tcPr>
            <w:tcW w:w="1350" w:type="dxa"/>
          </w:tcPr>
          <w:p w:rsidR="00404977" w:rsidRPr="008016C3" w:rsidRDefault="00404977" w:rsidP="001D1FA1">
            <w:pPr>
              <w:spacing w:after="0"/>
              <w:rPr>
                <w:sz w:val="22"/>
                <w:szCs w:val="22"/>
                <w:lang w:val="en-US"/>
              </w:rPr>
            </w:pPr>
          </w:p>
        </w:tc>
        <w:tc>
          <w:tcPr>
            <w:tcW w:w="1828" w:type="dxa"/>
          </w:tcPr>
          <w:p w:rsidR="00404977" w:rsidRPr="008016C3" w:rsidRDefault="00404977" w:rsidP="001D1FA1">
            <w:pPr>
              <w:spacing w:after="0"/>
              <w:rPr>
                <w:sz w:val="22"/>
                <w:szCs w:val="22"/>
                <w:lang w:val="en-US"/>
              </w:rPr>
            </w:pPr>
          </w:p>
        </w:tc>
      </w:tr>
      <w:tr w:rsidR="0037444A" w:rsidRPr="008016C3" w:rsidTr="00FA422E">
        <w:trPr>
          <w:tblHeader/>
        </w:trPr>
        <w:tc>
          <w:tcPr>
            <w:tcW w:w="1098" w:type="dxa"/>
          </w:tcPr>
          <w:p w:rsidR="00404977" w:rsidRPr="008016C3" w:rsidRDefault="00404977" w:rsidP="00404977">
            <w:pPr>
              <w:spacing w:after="0"/>
              <w:jc w:val="center"/>
              <w:rPr>
                <w:sz w:val="22"/>
                <w:szCs w:val="22"/>
                <w:lang w:val="en-US"/>
              </w:rPr>
            </w:pPr>
          </w:p>
        </w:tc>
        <w:tc>
          <w:tcPr>
            <w:tcW w:w="7380" w:type="dxa"/>
          </w:tcPr>
          <w:p w:rsidR="00404977" w:rsidRPr="008016C3" w:rsidRDefault="00897715" w:rsidP="00A66C36">
            <w:pPr>
              <w:spacing w:after="0"/>
              <w:rPr>
                <w:sz w:val="22"/>
                <w:szCs w:val="22"/>
                <w:lang w:val="en-US"/>
              </w:rPr>
            </w:pPr>
            <w:r w:rsidRPr="008016C3">
              <w:rPr>
                <w:sz w:val="22"/>
                <w:szCs w:val="22"/>
                <w:lang w:val="en-US"/>
              </w:rPr>
              <w:t xml:space="preserve">1) </w:t>
            </w:r>
            <w:r w:rsidR="00903D40" w:rsidRPr="008016C3">
              <w:rPr>
                <w:sz w:val="22"/>
                <w:szCs w:val="22"/>
                <w:lang w:val="en-US"/>
              </w:rPr>
              <w:t xml:space="preserve">Provide </w:t>
            </w:r>
            <w:r w:rsidR="00BE17A0" w:rsidRPr="008016C3">
              <w:rPr>
                <w:sz w:val="22"/>
                <w:szCs w:val="22"/>
                <w:lang w:val="en-US"/>
              </w:rPr>
              <w:t xml:space="preserve">ad-hoc </w:t>
            </w:r>
            <w:r w:rsidR="00903D40" w:rsidRPr="008016C3">
              <w:rPr>
                <w:sz w:val="22"/>
                <w:szCs w:val="22"/>
                <w:lang w:val="en-US"/>
              </w:rPr>
              <w:t xml:space="preserve">advice on </w:t>
            </w:r>
            <w:r w:rsidR="00A66C36" w:rsidRPr="008016C3">
              <w:rPr>
                <w:sz w:val="22"/>
                <w:szCs w:val="22"/>
                <w:lang w:val="en-US"/>
              </w:rPr>
              <w:t xml:space="preserve">science and </w:t>
            </w:r>
            <w:r w:rsidR="00903D40" w:rsidRPr="008016C3">
              <w:rPr>
                <w:sz w:val="22"/>
                <w:szCs w:val="22"/>
                <w:lang w:val="en-US"/>
              </w:rPr>
              <w:t xml:space="preserve">data-related implications </w:t>
            </w:r>
            <w:r w:rsidR="00A66C36" w:rsidRPr="008016C3">
              <w:rPr>
                <w:sz w:val="22"/>
                <w:szCs w:val="22"/>
                <w:lang w:val="en-US"/>
              </w:rPr>
              <w:t xml:space="preserve">of relevant MCS activities, including, but not limited to: transshipment, </w:t>
            </w:r>
            <w:r w:rsidR="00406387" w:rsidRPr="008016C3">
              <w:rPr>
                <w:sz w:val="22"/>
                <w:szCs w:val="22"/>
                <w:lang w:val="en-US"/>
              </w:rPr>
              <w:t xml:space="preserve">the regional observer programme, port sampling, </w:t>
            </w:r>
            <w:r w:rsidR="00A66C36" w:rsidRPr="008016C3">
              <w:rPr>
                <w:sz w:val="22"/>
                <w:szCs w:val="22"/>
                <w:lang w:val="en-US"/>
              </w:rPr>
              <w:t>VMS, port state measures, and catch documentation schemes</w:t>
            </w:r>
          </w:p>
        </w:tc>
        <w:tc>
          <w:tcPr>
            <w:tcW w:w="2520" w:type="dxa"/>
          </w:tcPr>
          <w:p w:rsidR="00404977" w:rsidRPr="008016C3" w:rsidRDefault="00A66C36" w:rsidP="001D1FA1">
            <w:pPr>
              <w:spacing w:after="0"/>
              <w:rPr>
                <w:sz w:val="22"/>
                <w:szCs w:val="22"/>
                <w:lang w:val="en-US"/>
              </w:rPr>
            </w:pPr>
            <w:r w:rsidRPr="008016C3">
              <w:rPr>
                <w:sz w:val="22"/>
                <w:szCs w:val="22"/>
                <w:lang w:val="en-US"/>
              </w:rPr>
              <w:t>Advice provided on request</w:t>
            </w:r>
          </w:p>
        </w:tc>
        <w:tc>
          <w:tcPr>
            <w:tcW w:w="1350" w:type="dxa"/>
          </w:tcPr>
          <w:p w:rsidR="00404977" w:rsidRPr="008016C3" w:rsidRDefault="000F53C9" w:rsidP="001D1FA1">
            <w:pPr>
              <w:spacing w:after="0"/>
              <w:rPr>
                <w:sz w:val="22"/>
                <w:szCs w:val="22"/>
                <w:lang w:val="en-US"/>
              </w:rPr>
            </w:pPr>
            <w:r w:rsidRPr="008016C3">
              <w:rPr>
                <w:sz w:val="22"/>
                <w:szCs w:val="22"/>
                <w:lang w:val="en-US"/>
              </w:rPr>
              <w:t>Jan - Dec</w:t>
            </w:r>
          </w:p>
        </w:tc>
        <w:tc>
          <w:tcPr>
            <w:tcW w:w="1828" w:type="dxa"/>
          </w:tcPr>
          <w:p w:rsidR="00404977" w:rsidRPr="008016C3" w:rsidRDefault="00404977" w:rsidP="001D1FA1">
            <w:pPr>
              <w:spacing w:after="0"/>
              <w:rPr>
                <w:sz w:val="22"/>
                <w:szCs w:val="22"/>
                <w:lang w:val="en-US"/>
              </w:rPr>
            </w:pPr>
          </w:p>
        </w:tc>
      </w:tr>
      <w:tr w:rsidR="000F53C9" w:rsidRPr="008016C3" w:rsidTr="00FA422E">
        <w:trPr>
          <w:tblHeader/>
        </w:trPr>
        <w:tc>
          <w:tcPr>
            <w:tcW w:w="1098" w:type="dxa"/>
          </w:tcPr>
          <w:p w:rsidR="000F53C9" w:rsidRPr="008016C3" w:rsidRDefault="000F53C9" w:rsidP="00404977">
            <w:pPr>
              <w:spacing w:after="0"/>
              <w:jc w:val="center"/>
              <w:rPr>
                <w:sz w:val="22"/>
                <w:szCs w:val="22"/>
                <w:lang w:val="en-US"/>
              </w:rPr>
            </w:pPr>
          </w:p>
        </w:tc>
        <w:tc>
          <w:tcPr>
            <w:tcW w:w="7380" w:type="dxa"/>
          </w:tcPr>
          <w:p w:rsidR="000F53C9" w:rsidRPr="008016C3" w:rsidRDefault="00897715" w:rsidP="00BE17A0">
            <w:pPr>
              <w:spacing w:after="0"/>
              <w:rPr>
                <w:sz w:val="22"/>
                <w:szCs w:val="22"/>
                <w:lang w:val="en-US"/>
              </w:rPr>
            </w:pPr>
            <w:r w:rsidRPr="008016C3">
              <w:rPr>
                <w:sz w:val="22"/>
                <w:szCs w:val="22"/>
                <w:lang w:val="en-US"/>
              </w:rPr>
              <w:t xml:space="preserve">2) </w:t>
            </w:r>
            <w:r w:rsidR="00BE17A0" w:rsidRPr="008016C3">
              <w:rPr>
                <w:sz w:val="22"/>
                <w:szCs w:val="22"/>
                <w:lang w:val="en-US"/>
              </w:rPr>
              <w:t xml:space="preserve">Advice on data-related procedures of the Commission, e.g. </w:t>
            </w:r>
            <w:r w:rsidR="000F53C9" w:rsidRPr="008016C3">
              <w:rPr>
                <w:sz w:val="22"/>
                <w:szCs w:val="22"/>
                <w:lang w:val="en-US"/>
              </w:rPr>
              <w:t>Rules and Procedures for the Protection, Access to and Dissemination of Non-Public Domain Data and Information Compiled by the Commission</w:t>
            </w:r>
            <w:r w:rsidR="00BE17A0" w:rsidRPr="008016C3">
              <w:rPr>
                <w:sz w:val="22"/>
                <w:szCs w:val="22"/>
                <w:lang w:val="en-US"/>
              </w:rPr>
              <w:t>, and “</w:t>
            </w:r>
            <w:r w:rsidR="00BE17A0" w:rsidRPr="008016C3">
              <w:rPr>
                <w:i/>
                <w:sz w:val="22"/>
                <w:szCs w:val="22"/>
                <w:lang w:val="en-US"/>
              </w:rPr>
              <w:t>Scientific Data to be Provided to the Commission</w:t>
            </w:r>
            <w:r w:rsidR="00BE17A0" w:rsidRPr="008016C3">
              <w:rPr>
                <w:sz w:val="22"/>
                <w:szCs w:val="22"/>
                <w:lang w:val="en-US"/>
              </w:rPr>
              <w:t>”</w:t>
            </w:r>
          </w:p>
        </w:tc>
        <w:tc>
          <w:tcPr>
            <w:tcW w:w="2520" w:type="dxa"/>
          </w:tcPr>
          <w:p w:rsidR="000F53C9" w:rsidRPr="008016C3" w:rsidRDefault="000F53C9" w:rsidP="001D1FA1">
            <w:pPr>
              <w:spacing w:after="0"/>
              <w:rPr>
                <w:sz w:val="22"/>
                <w:szCs w:val="22"/>
                <w:lang w:val="en-US"/>
              </w:rPr>
            </w:pPr>
            <w:r w:rsidRPr="008016C3">
              <w:rPr>
                <w:sz w:val="22"/>
                <w:szCs w:val="22"/>
                <w:lang w:val="en-US"/>
              </w:rPr>
              <w:t>Advice provided on request</w:t>
            </w:r>
          </w:p>
        </w:tc>
        <w:tc>
          <w:tcPr>
            <w:tcW w:w="1350" w:type="dxa"/>
          </w:tcPr>
          <w:p w:rsidR="000F53C9" w:rsidRPr="008016C3" w:rsidRDefault="000F53C9" w:rsidP="007C5238">
            <w:pPr>
              <w:rPr>
                <w:sz w:val="22"/>
                <w:szCs w:val="22"/>
              </w:rPr>
            </w:pPr>
            <w:r w:rsidRPr="008016C3">
              <w:rPr>
                <w:sz w:val="22"/>
                <w:szCs w:val="22"/>
                <w:lang w:val="en-US"/>
              </w:rPr>
              <w:t>Jan - Dec</w:t>
            </w:r>
          </w:p>
        </w:tc>
        <w:tc>
          <w:tcPr>
            <w:tcW w:w="1828" w:type="dxa"/>
          </w:tcPr>
          <w:p w:rsidR="000F53C9" w:rsidRPr="008016C3" w:rsidRDefault="000F53C9" w:rsidP="001D1FA1">
            <w:pPr>
              <w:spacing w:after="0"/>
              <w:rPr>
                <w:sz w:val="22"/>
                <w:szCs w:val="22"/>
                <w:lang w:val="en-US"/>
              </w:rPr>
            </w:pPr>
          </w:p>
        </w:tc>
      </w:tr>
      <w:tr w:rsidR="0037444A" w:rsidRPr="008016C3" w:rsidTr="00FA422E">
        <w:trPr>
          <w:tblHeader/>
        </w:trPr>
        <w:tc>
          <w:tcPr>
            <w:tcW w:w="1098" w:type="dxa"/>
          </w:tcPr>
          <w:p w:rsidR="00404977" w:rsidRPr="008016C3" w:rsidRDefault="00404977" w:rsidP="00404977">
            <w:pPr>
              <w:spacing w:after="0"/>
              <w:jc w:val="center"/>
              <w:rPr>
                <w:sz w:val="22"/>
                <w:szCs w:val="22"/>
                <w:lang w:val="en-US"/>
              </w:rPr>
            </w:pPr>
          </w:p>
        </w:tc>
        <w:tc>
          <w:tcPr>
            <w:tcW w:w="7380" w:type="dxa"/>
          </w:tcPr>
          <w:p w:rsidR="00404977" w:rsidRPr="008016C3" w:rsidRDefault="00897715" w:rsidP="0049595D">
            <w:pPr>
              <w:spacing w:after="0"/>
              <w:rPr>
                <w:sz w:val="22"/>
                <w:szCs w:val="22"/>
                <w:lang w:val="en-US"/>
              </w:rPr>
            </w:pPr>
            <w:r w:rsidRPr="008016C3">
              <w:rPr>
                <w:sz w:val="22"/>
                <w:szCs w:val="22"/>
                <w:lang w:val="en-US"/>
              </w:rPr>
              <w:t xml:space="preserve">3) </w:t>
            </w:r>
            <w:r w:rsidR="0049595D" w:rsidRPr="008016C3">
              <w:rPr>
                <w:sz w:val="22"/>
                <w:szCs w:val="22"/>
                <w:lang w:val="en-US"/>
              </w:rPr>
              <w:t>Release the datasets used in annual assessments, upon request, subject to the Commission’s Rules and Procedures for the Protection, Access to and Dissemination of Data Compiled by the Commission</w:t>
            </w:r>
          </w:p>
        </w:tc>
        <w:tc>
          <w:tcPr>
            <w:tcW w:w="2520" w:type="dxa"/>
          </w:tcPr>
          <w:p w:rsidR="00404977" w:rsidRPr="008016C3" w:rsidRDefault="0049595D" w:rsidP="001D1FA1">
            <w:pPr>
              <w:spacing w:after="0"/>
              <w:rPr>
                <w:sz w:val="22"/>
                <w:szCs w:val="22"/>
                <w:lang w:val="en-US"/>
              </w:rPr>
            </w:pPr>
            <w:r w:rsidRPr="008016C3">
              <w:rPr>
                <w:sz w:val="22"/>
                <w:szCs w:val="22"/>
                <w:lang w:val="en-US"/>
              </w:rPr>
              <w:t>As requested by CCMs through the Executive Director</w:t>
            </w:r>
          </w:p>
        </w:tc>
        <w:tc>
          <w:tcPr>
            <w:tcW w:w="1350" w:type="dxa"/>
          </w:tcPr>
          <w:p w:rsidR="00404977" w:rsidRPr="008016C3" w:rsidRDefault="0049595D" w:rsidP="001D1FA1">
            <w:pPr>
              <w:spacing w:after="0"/>
              <w:rPr>
                <w:sz w:val="22"/>
                <w:szCs w:val="22"/>
                <w:lang w:val="en-US"/>
              </w:rPr>
            </w:pPr>
            <w:r w:rsidRPr="008016C3">
              <w:rPr>
                <w:sz w:val="22"/>
                <w:szCs w:val="22"/>
                <w:lang w:val="en-US"/>
              </w:rPr>
              <w:t>After mid-July</w:t>
            </w:r>
          </w:p>
        </w:tc>
        <w:tc>
          <w:tcPr>
            <w:tcW w:w="1828" w:type="dxa"/>
          </w:tcPr>
          <w:p w:rsidR="00404977" w:rsidRPr="008016C3" w:rsidRDefault="00404977" w:rsidP="001D1FA1">
            <w:pPr>
              <w:spacing w:after="0"/>
              <w:rPr>
                <w:sz w:val="22"/>
                <w:szCs w:val="22"/>
                <w:lang w:val="en-US"/>
              </w:rPr>
            </w:pPr>
          </w:p>
        </w:tc>
      </w:tr>
      <w:tr w:rsidR="00DF479E" w:rsidRPr="008016C3" w:rsidTr="0099701C">
        <w:trPr>
          <w:tblHeader/>
        </w:trPr>
        <w:tc>
          <w:tcPr>
            <w:tcW w:w="1098" w:type="dxa"/>
            <w:tcBorders>
              <w:bottom w:val="single" w:sz="4" w:space="0" w:color="auto"/>
            </w:tcBorders>
          </w:tcPr>
          <w:p w:rsidR="00DF479E" w:rsidRPr="008016C3" w:rsidRDefault="00DF479E" w:rsidP="00404977">
            <w:pPr>
              <w:spacing w:after="0"/>
              <w:jc w:val="center"/>
              <w:rPr>
                <w:sz w:val="22"/>
                <w:szCs w:val="22"/>
                <w:lang w:val="en-US"/>
              </w:rPr>
            </w:pPr>
          </w:p>
        </w:tc>
        <w:tc>
          <w:tcPr>
            <w:tcW w:w="7380" w:type="dxa"/>
            <w:tcBorders>
              <w:bottom w:val="single" w:sz="4" w:space="0" w:color="auto"/>
            </w:tcBorders>
          </w:tcPr>
          <w:p w:rsidR="00DF479E" w:rsidRPr="008016C3" w:rsidRDefault="00897715" w:rsidP="00895C57">
            <w:pPr>
              <w:spacing w:after="0"/>
              <w:rPr>
                <w:sz w:val="22"/>
                <w:szCs w:val="22"/>
                <w:lang w:val="en-US"/>
              </w:rPr>
            </w:pPr>
            <w:r w:rsidRPr="008016C3">
              <w:rPr>
                <w:sz w:val="22"/>
                <w:szCs w:val="22"/>
                <w:lang w:val="en-US"/>
              </w:rPr>
              <w:t xml:space="preserve">4) </w:t>
            </w:r>
            <w:r w:rsidR="00895C57" w:rsidRPr="008016C3">
              <w:rPr>
                <w:sz w:val="22"/>
                <w:szCs w:val="22"/>
                <w:lang w:val="en-US"/>
              </w:rPr>
              <w:t>Provide support to coordination and collaboration on data-related matters between the ISC and WCPFC</w:t>
            </w:r>
          </w:p>
        </w:tc>
        <w:tc>
          <w:tcPr>
            <w:tcW w:w="2520" w:type="dxa"/>
            <w:tcBorders>
              <w:bottom w:val="single" w:sz="4" w:space="0" w:color="auto"/>
            </w:tcBorders>
          </w:tcPr>
          <w:p w:rsidR="00DF479E" w:rsidRPr="00DC365C" w:rsidRDefault="00895C57" w:rsidP="00DC365C">
            <w:pPr>
              <w:pStyle w:val="ListParagraph"/>
              <w:numPr>
                <w:ilvl w:val="0"/>
                <w:numId w:val="39"/>
              </w:numPr>
              <w:spacing w:after="0"/>
              <w:ind w:left="144" w:hanging="144"/>
              <w:rPr>
                <w:sz w:val="22"/>
                <w:szCs w:val="22"/>
                <w:lang w:val="en-US"/>
              </w:rPr>
            </w:pPr>
            <w:r w:rsidRPr="00DC365C">
              <w:rPr>
                <w:sz w:val="22"/>
                <w:szCs w:val="22"/>
                <w:lang w:val="en-US"/>
              </w:rPr>
              <w:t>Produce an inventory of Commission data holdings for north Pacific stocks</w:t>
            </w:r>
          </w:p>
          <w:p w:rsidR="00895C57" w:rsidRPr="00DC365C" w:rsidRDefault="00895C57" w:rsidP="00DC365C">
            <w:pPr>
              <w:pStyle w:val="ListParagraph"/>
              <w:numPr>
                <w:ilvl w:val="0"/>
                <w:numId w:val="39"/>
              </w:numPr>
              <w:spacing w:after="0"/>
              <w:ind w:left="144" w:hanging="144"/>
              <w:rPr>
                <w:sz w:val="22"/>
                <w:szCs w:val="22"/>
                <w:lang w:val="en-US"/>
              </w:rPr>
            </w:pPr>
            <w:r w:rsidRPr="00DC365C">
              <w:rPr>
                <w:sz w:val="22"/>
                <w:szCs w:val="22"/>
                <w:lang w:val="en-US"/>
              </w:rPr>
              <w:t>Participate in work to reconcile of ISC and Commission data holdings, for north Pacific stocks, to identify any data gaps by 1st October 2010</w:t>
            </w:r>
            <w:r w:rsidR="00EB204C" w:rsidRPr="00DC365C">
              <w:rPr>
                <w:sz w:val="22"/>
                <w:szCs w:val="22"/>
                <w:lang w:val="en-US"/>
              </w:rPr>
              <w:t>. Work coordinated by the Secretariat, in conjunction ISC and interested CCMs.</w:t>
            </w:r>
          </w:p>
        </w:tc>
        <w:tc>
          <w:tcPr>
            <w:tcW w:w="1350" w:type="dxa"/>
            <w:tcBorders>
              <w:bottom w:val="single" w:sz="4" w:space="0" w:color="auto"/>
            </w:tcBorders>
          </w:tcPr>
          <w:p w:rsidR="00DF479E" w:rsidRPr="008016C3" w:rsidRDefault="00895C57" w:rsidP="001D1FA1">
            <w:pPr>
              <w:spacing w:after="0"/>
              <w:rPr>
                <w:sz w:val="22"/>
                <w:szCs w:val="22"/>
                <w:lang w:val="en-US"/>
              </w:rPr>
            </w:pPr>
            <w:r w:rsidRPr="008016C3">
              <w:rPr>
                <w:sz w:val="22"/>
                <w:szCs w:val="22"/>
                <w:lang w:val="en-US"/>
              </w:rPr>
              <w:t>July 2010</w:t>
            </w:r>
          </w:p>
          <w:p w:rsidR="00895C57" w:rsidRPr="008016C3" w:rsidRDefault="00895C57" w:rsidP="001D1FA1">
            <w:pPr>
              <w:spacing w:after="0"/>
              <w:rPr>
                <w:sz w:val="22"/>
                <w:szCs w:val="22"/>
                <w:lang w:val="en-US"/>
              </w:rPr>
            </w:pPr>
          </w:p>
          <w:p w:rsidR="00895C57" w:rsidRPr="008016C3" w:rsidRDefault="00895C57" w:rsidP="001D1FA1">
            <w:pPr>
              <w:spacing w:after="0"/>
              <w:rPr>
                <w:sz w:val="22"/>
                <w:szCs w:val="22"/>
                <w:lang w:val="en-US"/>
              </w:rPr>
            </w:pPr>
          </w:p>
          <w:p w:rsidR="00895C57" w:rsidRPr="008016C3" w:rsidRDefault="00895C57" w:rsidP="001D1FA1">
            <w:pPr>
              <w:spacing w:after="0"/>
              <w:rPr>
                <w:sz w:val="22"/>
                <w:szCs w:val="22"/>
                <w:lang w:val="en-US"/>
              </w:rPr>
            </w:pPr>
          </w:p>
          <w:p w:rsidR="00895C57" w:rsidRPr="008016C3" w:rsidRDefault="00895C57" w:rsidP="001D1FA1">
            <w:pPr>
              <w:spacing w:after="0"/>
              <w:rPr>
                <w:sz w:val="22"/>
                <w:szCs w:val="22"/>
                <w:lang w:val="en-US"/>
              </w:rPr>
            </w:pPr>
            <w:r w:rsidRPr="008016C3">
              <w:rPr>
                <w:sz w:val="22"/>
                <w:szCs w:val="22"/>
                <w:lang w:val="en-US"/>
              </w:rPr>
              <w:t>Oct 2010</w:t>
            </w:r>
          </w:p>
        </w:tc>
        <w:tc>
          <w:tcPr>
            <w:tcW w:w="1828" w:type="dxa"/>
            <w:tcBorders>
              <w:bottom w:val="single" w:sz="4" w:space="0" w:color="auto"/>
            </w:tcBorders>
          </w:tcPr>
          <w:p w:rsidR="00DF479E" w:rsidRPr="008016C3" w:rsidRDefault="00DF479E" w:rsidP="001D1FA1">
            <w:pPr>
              <w:spacing w:after="0"/>
              <w:rPr>
                <w:sz w:val="22"/>
                <w:szCs w:val="22"/>
                <w:lang w:val="en-US"/>
              </w:rPr>
            </w:pPr>
          </w:p>
        </w:tc>
      </w:tr>
      <w:tr w:rsidR="0037444A" w:rsidRPr="008016C3" w:rsidTr="0099701C">
        <w:trPr>
          <w:tblHeader/>
        </w:trPr>
        <w:tc>
          <w:tcPr>
            <w:tcW w:w="1098" w:type="dxa"/>
            <w:shd w:val="clear" w:color="auto" w:fill="000000" w:themeFill="text1"/>
          </w:tcPr>
          <w:p w:rsidR="0049595D" w:rsidRPr="008016C3" w:rsidRDefault="0049595D" w:rsidP="00404977">
            <w:pPr>
              <w:spacing w:after="0"/>
              <w:jc w:val="center"/>
              <w:rPr>
                <w:sz w:val="22"/>
                <w:szCs w:val="22"/>
                <w:lang w:val="en-US"/>
              </w:rPr>
            </w:pPr>
          </w:p>
        </w:tc>
        <w:tc>
          <w:tcPr>
            <w:tcW w:w="7380" w:type="dxa"/>
            <w:shd w:val="clear" w:color="auto" w:fill="000000" w:themeFill="text1"/>
          </w:tcPr>
          <w:p w:rsidR="0049595D" w:rsidRPr="008016C3" w:rsidRDefault="0049595D" w:rsidP="001D1FA1">
            <w:pPr>
              <w:spacing w:after="0"/>
              <w:rPr>
                <w:sz w:val="22"/>
                <w:szCs w:val="22"/>
                <w:lang w:val="en-US"/>
              </w:rPr>
            </w:pPr>
          </w:p>
        </w:tc>
        <w:tc>
          <w:tcPr>
            <w:tcW w:w="2520" w:type="dxa"/>
            <w:shd w:val="clear" w:color="auto" w:fill="000000" w:themeFill="text1"/>
          </w:tcPr>
          <w:p w:rsidR="0049595D" w:rsidRPr="008016C3" w:rsidRDefault="0049595D" w:rsidP="001D1FA1">
            <w:pPr>
              <w:spacing w:after="0"/>
              <w:rPr>
                <w:sz w:val="22"/>
                <w:szCs w:val="22"/>
                <w:lang w:val="en-US"/>
              </w:rPr>
            </w:pPr>
          </w:p>
        </w:tc>
        <w:tc>
          <w:tcPr>
            <w:tcW w:w="1350" w:type="dxa"/>
            <w:shd w:val="clear" w:color="auto" w:fill="000000" w:themeFill="text1"/>
          </w:tcPr>
          <w:p w:rsidR="0049595D" w:rsidRPr="008016C3" w:rsidRDefault="0049595D" w:rsidP="001D1FA1">
            <w:pPr>
              <w:spacing w:after="0"/>
              <w:rPr>
                <w:sz w:val="22"/>
                <w:szCs w:val="22"/>
                <w:lang w:val="en-US"/>
              </w:rPr>
            </w:pPr>
          </w:p>
        </w:tc>
        <w:tc>
          <w:tcPr>
            <w:tcW w:w="1828" w:type="dxa"/>
            <w:shd w:val="clear" w:color="auto" w:fill="000000" w:themeFill="text1"/>
          </w:tcPr>
          <w:p w:rsidR="0049595D" w:rsidRPr="008016C3" w:rsidRDefault="0049595D" w:rsidP="001D1FA1">
            <w:pPr>
              <w:spacing w:after="0"/>
              <w:rPr>
                <w:sz w:val="22"/>
                <w:szCs w:val="22"/>
                <w:lang w:val="en-US"/>
              </w:rPr>
            </w:pPr>
          </w:p>
        </w:tc>
      </w:tr>
      <w:tr w:rsidR="0037444A" w:rsidRPr="008016C3" w:rsidTr="00FA422E">
        <w:trPr>
          <w:tblHeader/>
        </w:trPr>
        <w:tc>
          <w:tcPr>
            <w:tcW w:w="1098" w:type="dxa"/>
          </w:tcPr>
          <w:p w:rsidR="00404977" w:rsidRPr="008016C3" w:rsidRDefault="005F117B" w:rsidP="00404977">
            <w:pPr>
              <w:spacing w:after="0"/>
              <w:jc w:val="center"/>
              <w:rPr>
                <w:b/>
                <w:sz w:val="22"/>
                <w:szCs w:val="22"/>
                <w:lang w:val="en-US"/>
              </w:rPr>
            </w:pPr>
            <w:r w:rsidRPr="008016C3">
              <w:rPr>
                <w:b/>
                <w:sz w:val="22"/>
                <w:szCs w:val="22"/>
                <w:lang w:val="en-US"/>
              </w:rPr>
              <w:t>v.</w:t>
            </w:r>
          </w:p>
          <w:p w:rsidR="005F117B" w:rsidRPr="008016C3" w:rsidRDefault="005F117B" w:rsidP="0058518C">
            <w:pPr>
              <w:spacing w:after="0"/>
              <w:jc w:val="center"/>
              <w:rPr>
                <w:b/>
                <w:sz w:val="22"/>
                <w:szCs w:val="22"/>
                <w:lang w:val="en-US"/>
              </w:rPr>
            </w:pPr>
            <w:r w:rsidRPr="008016C3">
              <w:rPr>
                <w:b/>
                <w:sz w:val="22"/>
                <w:szCs w:val="22"/>
                <w:lang w:val="en-US"/>
              </w:rPr>
              <w:t>(8,14,15)</w:t>
            </w:r>
          </w:p>
        </w:tc>
        <w:tc>
          <w:tcPr>
            <w:tcW w:w="7380" w:type="dxa"/>
            <w:vAlign w:val="center"/>
          </w:tcPr>
          <w:p w:rsidR="00404977" w:rsidRPr="008016C3" w:rsidRDefault="00A725FD" w:rsidP="008016C3">
            <w:pPr>
              <w:spacing w:after="0"/>
              <w:rPr>
                <w:b/>
                <w:i/>
                <w:sz w:val="22"/>
                <w:szCs w:val="22"/>
                <w:lang w:val="en-US"/>
              </w:rPr>
            </w:pPr>
            <w:r w:rsidRPr="008016C3">
              <w:rPr>
                <w:b/>
                <w:i/>
                <w:sz w:val="22"/>
                <w:szCs w:val="22"/>
                <w:lang w:val="en-US"/>
              </w:rPr>
              <w:t>Support of other data-related projects of the Commission</w:t>
            </w:r>
          </w:p>
        </w:tc>
        <w:tc>
          <w:tcPr>
            <w:tcW w:w="2520" w:type="dxa"/>
          </w:tcPr>
          <w:p w:rsidR="00404977" w:rsidRPr="008016C3" w:rsidRDefault="00404977" w:rsidP="001D1FA1">
            <w:pPr>
              <w:spacing w:after="0"/>
              <w:rPr>
                <w:sz w:val="22"/>
                <w:szCs w:val="22"/>
                <w:lang w:val="en-US"/>
              </w:rPr>
            </w:pPr>
          </w:p>
        </w:tc>
        <w:tc>
          <w:tcPr>
            <w:tcW w:w="1350" w:type="dxa"/>
          </w:tcPr>
          <w:p w:rsidR="00404977" w:rsidRPr="008016C3" w:rsidRDefault="00404977" w:rsidP="001D1FA1">
            <w:pPr>
              <w:spacing w:after="0"/>
              <w:rPr>
                <w:sz w:val="22"/>
                <w:szCs w:val="22"/>
                <w:lang w:val="en-US"/>
              </w:rPr>
            </w:pPr>
          </w:p>
        </w:tc>
        <w:tc>
          <w:tcPr>
            <w:tcW w:w="1828" w:type="dxa"/>
          </w:tcPr>
          <w:p w:rsidR="00404977" w:rsidRPr="008016C3" w:rsidRDefault="00404977" w:rsidP="001D1FA1">
            <w:pPr>
              <w:spacing w:after="0"/>
              <w:rPr>
                <w:sz w:val="22"/>
                <w:szCs w:val="22"/>
                <w:lang w:val="en-US"/>
              </w:rPr>
            </w:pPr>
          </w:p>
        </w:tc>
      </w:tr>
      <w:tr w:rsidR="0037444A" w:rsidRPr="008016C3" w:rsidTr="0099701C">
        <w:trPr>
          <w:tblHeader/>
        </w:trPr>
        <w:tc>
          <w:tcPr>
            <w:tcW w:w="1098" w:type="dxa"/>
            <w:tcBorders>
              <w:bottom w:val="single" w:sz="4" w:space="0" w:color="auto"/>
            </w:tcBorders>
          </w:tcPr>
          <w:p w:rsidR="005F117B" w:rsidRPr="008016C3" w:rsidRDefault="005F117B" w:rsidP="00404977">
            <w:pPr>
              <w:spacing w:after="0"/>
              <w:jc w:val="center"/>
              <w:rPr>
                <w:sz w:val="22"/>
                <w:szCs w:val="22"/>
                <w:lang w:val="en-US"/>
              </w:rPr>
            </w:pPr>
          </w:p>
        </w:tc>
        <w:tc>
          <w:tcPr>
            <w:tcW w:w="7380" w:type="dxa"/>
            <w:tcBorders>
              <w:bottom w:val="single" w:sz="4" w:space="0" w:color="auto"/>
            </w:tcBorders>
          </w:tcPr>
          <w:p w:rsidR="005F117B" w:rsidRPr="008016C3" w:rsidRDefault="00897715" w:rsidP="00BE17A0">
            <w:pPr>
              <w:spacing w:after="0"/>
              <w:rPr>
                <w:sz w:val="22"/>
                <w:szCs w:val="22"/>
                <w:lang w:val="en-US"/>
              </w:rPr>
            </w:pPr>
            <w:r w:rsidRPr="008016C3">
              <w:rPr>
                <w:sz w:val="22"/>
                <w:szCs w:val="22"/>
                <w:lang w:val="en-US"/>
              </w:rPr>
              <w:t xml:space="preserve">1) </w:t>
            </w:r>
            <w:r w:rsidR="005F117B" w:rsidRPr="008016C3">
              <w:rPr>
                <w:sz w:val="22"/>
                <w:szCs w:val="22"/>
                <w:lang w:val="en-US"/>
              </w:rPr>
              <w:t>Participate in GEF-West Pacific East Asia Oceanic Fisheries Management (WPEA OFM) Project</w:t>
            </w:r>
          </w:p>
        </w:tc>
        <w:tc>
          <w:tcPr>
            <w:tcW w:w="2520" w:type="dxa"/>
            <w:tcBorders>
              <w:bottom w:val="single" w:sz="4" w:space="0" w:color="auto"/>
            </w:tcBorders>
          </w:tcPr>
          <w:p w:rsidR="00A725FD" w:rsidRPr="00DC365C" w:rsidRDefault="00A725FD" w:rsidP="00DC365C">
            <w:pPr>
              <w:pStyle w:val="ListParagraph"/>
              <w:numPr>
                <w:ilvl w:val="0"/>
                <w:numId w:val="40"/>
              </w:numPr>
              <w:spacing w:after="0"/>
              <w:ind w:left="144" w:hanging="144"/>
              <w:rPr>
                <w:sz w:val="22"/>
                <w:szCs w:val="22"/>
                <w:lang w:val="en-US"/>
              </w:rPr>
            </w:pPr>
            <w:r w:rsidRPr="00DC365C">
              <w:rPr>
                <w:sz w:val="22"/>
                <w:szCs w:val="22"/>
                <w:lang w:val="en-US"/>
              </w:rPr>
              <w:t>A</w:t>
            </w:r>
            <w:r w:rsidR="00BE17A0" w:rsidRPr="00DC365C">
              <w:rPr>
                <w:sz w:val="22"/>
                <w:szCs w:val="22"/>
                <w:lang w:val="en-US"/>
              </w:rPr>
              <w:t>ttending</w:t>
            </w:r>
            <w:r w:rsidRPr="00DC365C">
              <w:rPr>
                <w:sz w:val="22"/>
                <w:szCs w:val="22"/>
                <w:lang w:val="en-US"/>
              </w:rPr>
              <w:t xml:space="preserve"> and </w:t>
            </w:r>
            <w:r w:rsidR="00895C57" w:rsidRPr="00DC365C">
              <w:rPr>
                <w:sz w:val="22"/>
                <w:szCs w:val="22"/>
                <w:lang w:val="en-US"/>
              </w:rPr>
              <w:t>facilitating</w:t>
            </w:r>
            <w:r w:rsidR="00BE17A0" w:rsidRPr="00DC365C">
              <w:rPr>
                <w:sz w:val="22"/>
                <w:szCs w:val="22"/>
                <w:lang w:val="en-US"/>
              </w:rPr>
              <w:t xml:space="preserve"> </w:t>
            </w:r>
            <w:r w:rsidR="0049595D" w:rsidRPr="00DC365C">
              <w:rPr>
                <w:sz w:val="22"/>
                <w:szCs w:val="22"/>
                <w:lang w:val="en-US"/>
              </w:rPr>
              <w:t xml:space="preserve">WPEA OFM-related workshops </w:t>
            </w:r>
            <w:r w:rsidR="00BE17A0" w:rsidRPr="00DC365C">
              <w:rPr>
                <w:sz w:val="22"/>
                <w:szCs w:val="22"/>
                <w:lang w:val="en-US"/>
              </w:rPr>
              <w:t>and</w:t>
            </w:r>
            <w:r w:rsidRPr="00DC365C">
              <w:rPr>
                <w:sz w:val="22"/>
                <w:szCs w:val="22"/>
                <w:lang w:val="en-US"/>
              </w:rPr>
              <w:t xml:space="preserve"> meetings. (</w:t>
            </w:r>
            <w:r w:rsidR="00FA422E" w:rsidRPr="00DC365C">
              <w:rPr>
                <w:sz w:val="22"/>
                <w:szCs w:val="22"/>
                <w:lang w:val="en-US"/>
              </w:rPr>
              <w:t>Travel costs provided by WCPFC)</w:t>
            </w:r>
          </w:p>
          <w:p w:rsidR="00A725FD" w:rsidRPr="00DC365C" w:rsidRDefault="00A725FD" w:rsidP="00DC365C">
            <w:pPr>
              <w:pStyle w:val="ListParagraph"/>
              <w:numPr>
                <w:ilvl w:val="0"/>
                <w:numId w:val="40"/>
              </w:numPr>
              <w:spacing w:after="0"/>
              <w:ind w:left="144" w:hanging="144"/>
              <w:rPr>
                <w:sz w:val="22"/>
                <w:szCs w:val="22"/>
                <w:lang w:val="en-US"/>
              </w:rPr>
            </w:pPr>
            <w:r w:rsidRPr="00DC365C">
              <w:rPr>
                <w:sz w:val="22"/>
                <w:szCs w:val="22"/>
                <w:lang w:val="en-US"/>
              </w:rPr>
              <w:t>Training in fishery monitoring and data management</w:t>
            </w:r>
          </w:p>
          <w:p w:rsidR="005F117B" w:rsidRPr="00DC365C" w:rsidRDefault="00A725FD" w:rsidP="00DC365C">
            <w:pPr>
              <w:pStyle w:val="ListParagraph"/>
              <w:numPr>
                <w:ilvl w:val="0"/>
                <w:numId w:val="40"/>
              </w:numPr>
              <w:spacing w:after="0"/>
              <w:ind w:left="144" w:hanging="144"/>
              <w:rPr>
                <w:sz w:val="22"/>
                <w:szCs w:val="22"/>
                <w:lang w:val="en-US"/>
              </w:rPr>
            </w:pPr>
            <w:r w:rsidRPr="00DC365C">
              <w:rPr>
                <w:sz w:val="22"/>
                <w:szCs w:val="22"/>
                <w:lang w:val="en-US"/>
              </w:rPr>
              <w:t>Technical support the auditing of fishery monitor</w:t>
            </w:r>
            <w:r w:rsidR="00DC365C" w:rsidRPr="00DC365C">
              <w:rPr>
                <w:sz w:val="22"/>
                <w:szCs w:val="22"/>
                <w:lang w:val="en-US"/>
              </w:rPr>
              <w:t>ing and data management systems</w:t>
            </w:r>
          </w:p>
          <w:p w:rsidR="00895C57" w:rsidRPr="00DC365C" w:rsidRDefault="00895C57" w:rsidP="00DC365C">
            <w:pPr>
              <w:pStyle w:val="ListParagraph"/>
              <w:numPr>
                <w:ilvl w:val="0"/>
                <w:numId w:val="40"/>
              </w:numPr>
              <w:spacing w:after="0"/>
              <w:ind w:left="144" w:hanging="144"/>
              <w:rPr>
                <w:sz w:val="22"/>
                <w:szCs w:val="22"/>
                <w:lang w:val="en-US"/>
              </w:rPr>
            </w:pPr>
            <w:r w:rsidRPr="00DC365C">
              <w:rPr>
                <w:sz w:val="22"/>
                <w:szCs w:val="22"/>
                <w:lang w:val="en-US"/>
              </w:rPr>
              <w:t>Other advice and support as required</w:t>
            </w:r>
          </w:p>
        </w:tc>
        <w:tc>
          <w:tcPr>
            <w:tcW w:w="1350" w:type="dxa"/>
            <w:tcBorders>
              <w:bottom w:val="single" w:sz="4" w:space="0" w:color="auto"/>
            </w:tcBorders>
          </w:tcPr>
          <w:p w:rsidR="005F117B" w:rsidRPr="008016C3" w:rsidRDefault="000F53C9" w:rsidP="001D1FA1">
            <w:pPr>
              <w:spacing w:after="0"/>
              <w:rPr>
                <w:sz w:val="22"/>
                <w:szCs w:val="22"/>
                <w:lang w:val="en-US"/>
              </w:rPr>
            </w:pPr>
            <w:r w:rsidRPr="008016C3">
              <w:rPr>
                <w:sz w:val="22"/>
                <w:szCs w:val="22"/>
                <w:lang w:val="en-US"/>
              </w:rPr>
              <w:t>Jan - Dec</w:t>
            </w:r>
          </w:p>
        </w:tc>
        <w:tc>
          <w:tcPr>
            <w:tcW w:w="1828" w:type="dxa"/>
            <w:tcBorders>
              <w:bottom w:val="single" w:sz="4" w:space="0" w:color="auto"/>
            </w:tcBorders>
          </w:tcPr>
          <w:p w:rsidR="005F117B" w:rsidRPr="008016C3" w:rsidRDefault="005F117B" w:rsidP="001D1FA1">
            <w:pPr>
              <w:spacing w:after="0"/>
              <w:rPr>
                <w:sz w:val="22"/>
                <w:szCs w:val="22"/>
                <w:lang w:val="en-US"/>
              </w:rPr>
            </w:pPr>
          </w:p>
        </w:tc>
      </w:tr>
      <w:tr w:rsidR="0099701C" w:rsidRPr="008016C3" w:rsidTr="0099701C">
        <w:trPr>
          <w:tblHeader/>
        </w:trPr>
        <w:tc>
          <w:tcPr>
            <w:tcW w:w="1098" w:type="dxa"/>
            <w:shd w:val="clear" w:color="auto" w:fill="000000" w:themeFill="text1"/>
          </w:tcPr>
          <w:p w:rsidR="0099701C" w:rsidRPr="008016C3" w:rsidRDefault="0099701C" w:rsidP="00404977">
            <w:pPr>
              <w:spacing w:after="0"/>
              <w:jc w:val="center"/>
              <w:rPr>
                <w:sz w:val="22"/>
                <w:szCs w:val="22"/>
                <w:lang w:val="en-US"/>
              </w:rPr>
            </w:pPr>
          </w:p>
        </w:tc>
        <w:tc>
          <w:tcPr>
            <w:tcW w:w="7380" w:type="dxa"/>
            <w:shd w:val="clear" w:color="auto" w:fill="000000" w:themeFill="text1"/>
          </w:tcPr>
          <w:p w:rsidR="0099701C" w:rsidRPr="008016C3" w:rsidRDefault="0099701C" w:rsidP="00BE17A0">
            <w:pPr>
              <w:spacing w:after="0"/>
              <w:rPr>
                <w:sz w:val="22"/>
                <w:szCs w:val="22"/>
                <w:lang w:val="en-US"/>
              </w:rPr>
            </w:pPr>
          </w:p>
        </w:tc>
        <w:tc>
          <w:tcPr>
            <w:tcW w:w="2520" w:type="dxa"/>
            <w:shd w:val="clear" w:color="auto" w:fill="000000" w:themeFill="text1"/>
          </w:tcPr>
          <w:p w:rsidR="0099701C" w:rsidRPr="00DC365C" w:rsidRDefault="0099701C" w:rsidP="0099701C">
            <w:pPr>
              <w:pStyle w:val="ListParagraph"/>
              <w:spacing w:after="0"/>
              <w:ind w:left="144"/>
              <w:rPr>
                <w:sz w:val="22"/>
                <w:szCs w:val="22"/>
                <w:lang w:val="en-US"/>
              </w:rPr>
            </w:pPr>
          </w:p>
        </w:tc>
        <w:tc>
          <w:tcPr>
            <w:tcW w:w="1350" w:type="dxa"/>
            <w:shd w:val="clear" w:color="auto" w:fill="000000" w:themeFill="text1"/>
          </w:tcPr>
          <w:p w:rsidR="0099701C" w:rsidRPr="008016C3" w:rsidRDefault="0099701C" w:rsidP="001D1FA1">
            <w:pPr>
              <w:spacing w:after="0"/>
              <w:rPr>
                <w:sz w:val="22"/>
                <w:szCs w:val="22"/>
                <w:lang w:val="en-US"/>
              </w:rPr>
            </w:pPr>
          </w:p>
        </w:tc>
        <w:tc>
          <w:tcPr>
            <w:tcW w:w="1828" w:type="dxa"/>
            <w:shd w:val="clear" w:color="auto" w:fill="000000" w:themeFill="text1"/>
          </w:tcPr>
          <w:p w:rsidR="0099701C" w:rsidRPr="008016C3" w:rsidRDefault="0099701C" w:rsidP="001D1FA1">
            <w:pPr>
              <w:spacing w:after="0"/>
              <w:rPr>
                <w:sz w:val="22"/>
                <w:szCs w:val="22"/>
                <w:lang w:val="en-US"/>
              </w:rPr>
            </w:pPr>
          </w:p>
        </w:tc>
      </w:tr>
    </w:tbl>
    <w:p w:rsidR="00DC365C" w:rsidRDefault="00DC365C"/>
    <w:tbl>
      <w:tblPr>
        <w:tblStyle w:val="TableGrid"/>
        <w:tblW w:w="0" w:type="auto"/>
        <w:tblLayout w:type="fixed"/>
        <w:tblLook w:val="04A0"/>
      </w:tblPr>
      <w:tblGrid>
        <w:gridCol w:w="1098"/>
        <w:gridCol w:w="7380"/>
        <w:gridCol w:w="2430"/>
        <w:gridCol w:w="1440"/>
        <w:gridCol w:w="1828"/>
      </w:tblGrid>
      <w:tr w:rsidR="00404F6D" w:rsidRPr="008016C3" w:rsidTr="00027504">
        <w:trPr>
          <w:tblHeader/>
        </w:trPr>
        <w:tc>
          <w:tcPr>
            <w:tcW w:w="14176" w:type="dxa"/>
            <w:gridSpan w:val="5"/>
            <w:shd w:val="pct10" w:color="auto" w:fill="auto"/>
          </w:tcPr>
          <w:p w:rsidR="00404F6D" w:rsidRPr="008016C3" w:rsidRDefault="00404F6D" w:rsidP="00404F6D">
            <w:pPr>
              <w:spacing w:after="0"/>
              <w:jc w:val="center"/>
              <w:rPr>
                <w:b/>
                <w:i/>
                <w:sz w:val="22"/>
                <w:szCs w:val="22"/>
                <w:lang w:val="en-US"/>
              </w:rPr>
            </w:pPr>
            <w:r w:rsidRPr="008016C3">
              <w:rPr>
                <w:b/>
                <w:i/>
                <w:sz w:val="22"/>
                <w:szCs w:val="22"/>
                <w:lang w:val="en-US"/>
              </w:rPr>
              <w:t>Stock assessment and related analytical services</w:t>
            </w:r>
          </w:p>
        </w:tc>
      </w:tr>
      <w:tr w:rsidR="0037444A" w:rsidRPr="008016C3" w:rsidTr="00FA422E">
        <w:trPr>
          <w:tblHeader/>
        </w:trPr>
        <w:tc>
          <w:tcPr>
            <w:tcW w:w="1098" w:type="dxa"/>
          </w:tcPr>
          <w:p w:rsidR="005F117B" w:rsidRPr="008016C3" w:rsidRDefault="00F93EB7" w:rsidP="00404977">
            <w:pPr>
              <w:spacing w:after="0"/>
              <w:jc w:val="center"/>
              <w:rPr>
                <w:b/>
                <w:sz w:val="22"/>
                <w:szCs w:val="22"/>
                <w:lang w:val="en-US"/>
              </w:rPr>
            </w:pPr>
            <w:r w:rsidRPr="008016C3">
              <w:rPr>
                <w:b/>
                <w:sz w:val="22"/>
                <w:szCs w:val="22"/>
                <w:lang w:val="en-US"/>
              </w:rPr>
              <w:t>vi.</w:t>
            </w:r>
          </w:p>
          <w:p w:rsidR="00F93EB7" w:rsidRPr="008016C3" w:rsidRDefault="00F93EB7" w:rsidP="00404977">
            <w:pPr>
              <w:spacing w:after="0"/>
              <w:jc w:val="center"/>
              <w:rPr>
                <w:b/>
                <w:sz w:val="22"/>
                <w:szCs w:val="22"/>
                <w:lang w:val="en-US"/>
              </w:rPr>
            </w:pPr>
            <w:r w:rsidRPr="008016C3">
              <w:rPr>
                <w:b/>
                <w:sz w:val="22"/>
                <w:szCs w:val="22"/>
                <w:lang w:val="en-US"/>
              </w:rPr>
              <w:t>(22</w:t>
            </w:r>
            <w:r w:rsidR="002C4739" w:rsidRPr="008016C3">
              <w:rPr>
                <w:b/>
                <w:sz w:val="22"/>
                <w:szCs w:val="22"/>
                <w:lang w:val="en-US"/>
              </w:rPr>
              <w:t>,</w:t>
            </w:r>
            <w:r w:rsidR="00427629" w:rsidRPr="008016C3">
              <w:rPr>
                <w:b/>
                <w:sz w:val="22"/>
                <w:szCs w:val="22"/>
                <w:lang w:val="en-US"/>
              </w:rPr>
              <w:t xml:space="preserve"> </w:t>
            </w:r>
            <w:r w:rsidR="002C4739" w:rsidRPr="008016C3">
              <w:rPr>
                <w:b/>
                <w:sz w:val="22"/>
                <w:szCs w:val="22"/>
                <w:lang w:val="en-US"/>
              </w:rPr>
              <w:t>23,</w:t>
            </w:r>
            <w:r w:rsidR="00427629" w:rsidRPr="008016C3">
              <w:rPr>
                <w:b/>
                <w:sz w:val="22"/>
                <w:szCs w:val="22"/>
                <w:lang w:val="en-US"/>
              </w:rPr>
              <w:t xml:space="preserve"> </w:t>
            </w:r>
            <w:r w:rsidR="002C4739" w:rsidRPr="008016C3">
              <w:rPr>
                <w:b/>
                <w:sz w:val="22"/>
                <w:szCs w:val="22"/>
                <w:lang w:val="en-US"/>
              </w:rPr>
              <w:t>24,</w:t>
            </w:r>
            <w:r w:rsidR="00427629" w:rsidRPr="008016C3">
              <w:rPr>
                <w:b/>
                <w:sz w:val="22"/>
                <w:szCs w:val="22"/>
                <w:lang w:val="en-US"/>
              </w:rPr>
              <w:t xml:space="preserve"> </w:t>
            </w:r>
            <w:r w:rsidR="002C4739" w:rsidRPr="008016C3">
              <w:rPr>
                <w:b/>
                <w:sz w:val="22"/>
                <w:szCs w:val="22"/>
                <w:lang w:val="en-US"/>
              </w:rPr>
              <w:t>25,</w:t>
            </w:r>
            <w:r w:rsidR="00427629" w:rsidRPr="008016C3">
              <w:rPr>
                <w:b/>
                <w:sz w:val="22"/>
                <w:szCs w:val="22"/>
                <w:lang w:val="en-US"/>
              </w:rPr>
              <w:t xml:space="preserve"> </w:t>
            </w:r>
            <w:r w:rsidR="002C4739" w:rsidRPr="008016C3">
              <w:rPr>
                <w:b/>
                <w:sz w:val="22"/>
                <w:szCs w:val="22"/>
                <w:lang w:val="en-US"/>
              </w:rPr>
              <w:t>31</w:t>
            </w:r>
            <w:r w:rsidRPr="008016C3">
              <w:rPr>
                <w:b/>
                <w:sz w:val="22"/>
                <w:szCs w:val="22"/>
                <w:lang w:val="en-US"/>
              </w:rPr>
              <w:t>)</w:t>
            </w:r>
          </w:p>
        </w:tc>
        <w:tc>
          <w:tcPr>
            <w:tcW w:w="7380" w:type="dxa"/>
            <w:vAlign w:val="center"/>
          </w:tcPr>
          <w:p w:rsidR="005F117B" w:rsidRPr="008016C3" w:rsidRDefault="00F93EB7" w:rsidP="008016C3">
            <w:pPr>
              <w:spacing w:after="0"/>
              <w:rPr>
                <w:b/>
                <w:i/>
                <w:sz w:val="22"/>
                <w:szCs w:val="22"/>
                <w:lang w:val="en-US"/>
              </w:rPr>
            </w:pPr>
            <w:r w:rsidRPr="008016C3">
              <w:rPr>
                <w:b/>
                <w:i/>
                <w:sz w:val="22"/>
                <w:szCs w:val="22"/>
                <w:lang w:val="en-US"/>
              </w:rPr>
              <w:t>Stock assessments and auxiliary analyses</w:t>
            </w:r>
          </w:p>
        </w:tc>
        <w:tc>
          <w:tcPr>
            <w:tcW w:w="2430" w:type="dxa"/>
          </w:tcPr>
          <w:p w:rsidR="005F117B" w:rsidRPr="008016C3" w:rsidRDefault="005F117B" w:rsidP="001D1FA1">
            <w:pPr>
              <w:spacing w:after="0"/>
              <w:rPr>
                <w:sz w:val="22"/>
                <w:szCs w:val="22"/>
                <w:lang w:val="en-US"/>
              </w:rPr>
            </w:pPr>
          </w:p>
        </w:tc>
        <w:tc>
          <w:tcPr>
            <w:tcW w:w="1440" w:type="dxa"/>
          </w:tcPr>
          <w:p w:rsidR="005F117B" w:rsidRPr="008016C3" w:rsidRDefault="005F117B" w:rsidP="001D1FA1">
            <w:pPr>
              <w:spacing w:after="0"/>
              <w:rPr>
                <w:sz w:val="22"/>
                <w:szCs w:val="22"/>
                <w:lang w:val="en-US"/>
              </w:rPr>
            </w:pPr>
          </w:p>
        </w:tc>
        <w:tc>
          <w:tcPr>
            <w:tcW w:w="1828" w:type="dxa"/>
          </w:tcPr>
          <w:p w:rsidR="005F117B" w:rsidRPr="008016C3" w:rsidRDefault="005F117B" w:rsidP="001D1FA1">
            <w:pPr>
              <w:spacing w:after="0"/>
              <w:rPr>
                <w:sz w:val="22"/>
                <w:szCs w:val="22"/>
                <w:lang w:val="en-US"/>
              </w:rPr>
            </w:pPr>
          </w:p>
        </w:tc>
      </w:tr>
      <w:tr w:rsidR="0037444A" w:rsidRPr="008016C3" w:rsidTr="00FA422E">
        <w:trPr>
          <w:tblHeader/>
        </w:trPr>
        <w:tc>
          <w:tcPr>
            <w:tcW w:w="1098" w:type="dxa"/>
          </w:tcPr>
          <w:p w:rsidR="005F117B" w:rsidRPr="008016C3" w:rsidRDefault="005F117B" w:rsidP="00404977">
            <w:pPr>
              <w:spacing w:after="0"/>
              <w:jc w:val="center"/>
              <w:rPr>
                <w:sz w:val="22"/>
                <w:szCs w:val="22"/>
                <w:lang w:val="en-US"/>
              </w:rPr>
            </w:pPr>
          </w:p>
        </w:tc>
        <w:tc>
          <w:tcPr>
            <w:tcW w:w="7380" w:type="dxa"/>
          </w:tcPr>
          <w:p w:rsidR="005F117B" w:rsidRPr="008016C3" w:rsidRDefault="00897715" w:rsidP="00F93EB7">
            <w:pPr>
              <w:spacing w:after="0"/>
              <w:rPr>
                <w:sz w:val="22"/>
                <w:szCs w:val="22"/>
                <w:lang w:val="en-US"/>
              </w:rPr>
            </w:pPr>
            <w:r w:rsidRPr="008016C3">
              <w:rPr>
                <w:sz w:val="22"/>
                <w:szCs w:val="22"/>
                <w:lang w:val="en-US"/>
              </w:rPr>
              <w:t xml:space="preserve">1) </w:t>
            </w:r>
            <w:r w:rsidR="00F93EB7" w:rsidRPr="008016C3">
              <w:rPr>
                <w:sz w:val="22"/>
                <w:szCs w:val="22"/>
                <w:lang w:val="en-US"/>
              </w:rPr>
              <w:t>Undertake stock assessments for target and non-target species as requested by the Commission</w:t>
            </w:r>
            <w:r w:rsidR="00261D29" w:rsidRPr="008016C3">
              <w:rPr>
                <w:sz w:val="22"/>
                <w:szCs w:val="22"/>
                <w:lang w:val="en-US"/>
              </w:rPr>
              <w:t>, including exploration of sensitivity of stock assessment outcomes to structural assumptions in models and data issues, including the comparison of various stock assessment models.</w:t>
            </w:r>
          </w:p>
        </w:tc>
        <w:tc>
          <w:tcPr>
            <w:tcW w:w="2430" w:type="dxa"/>
          </w:tcPr>
          <w:p w:rsidR="005F117B" w:rsidRPr="00DC365C" w:rsidRDefault="007C5238" w:rsidP="00DC365C">
            <w:pPr>
              <w:pStyle w:val="ListParagraph"/>
              <w:numPr>
                <w:ilvl w:val="0"/>
                <w:numId w:val="41"/>
              </w:numPr>
              <w:spacing w:after="0"/>
              <w:ind w:left="144" w:hanging="144"/>
              <w:rPr>
                <w:sz w:val="22"/>
                <w:szCs w:val="22"/>
                <w:lang w:val="en-US"/>
              </w:rPr>
            </w:pPr>
            <w:r w:rsidRPr="00DC365C">
              <w:rPr>
                <w:sz w:val="22"/>
                <w:szCs w:val="22"/>
                <w:lang w:val="en-US"/>
              </w:rPr>
              <w:t>A</w:t>
            </w:r>
            <w:r w:rsidR="00F93EB7" w:rsidRPr="00DC365C">
              <w:rPr>
                <w:sz w:val="22"/>
                <w:szCs w:val="22"/>
                <w:lang w:val="en-US"/>
              </w:rPr>
              <w:t>ssessments for bigeye and skipjack tunas</w:t>
            </w:r>
          </w:p>
          <w:p w:rsidR="00F93EB7" w:rsidRPr="00DC365C" w:rsidRDefault="00F93EB7" w:rsidP="00DC365C">
            <w:pPr>
              <w:pStyle w:val="ListParagraph"/>
              <w:numPr>
                <w:ilvl w:val="0"/>
                <w:numId w:val="41"/>
              </w:numPr>
              <w:spacing w:after="0"/>
              <w:ind w:left="144" w:hanging="144"/>
              <w:rPr>
                <w:sz w:val="22"/>
                <w:szCs w:val="22"/>
                <w:lang w:val="en-US"/>
              </w:rPr>
            </w:pPr>
            <w:r w:rsidRPr="00DC365C">
              <w:rPr>
                <w:sz w:val="22"/>
                <w:szCs w:val="22"/>
                <w:lang w:val="en-US"/>
              </w:rPr>
              <w:t>SC papers</w:t>
            </w:r>
          </w:p>
          <w:p w:rsidR="007C5238" w:rsidRPr="00DC365C" w:rsidRDefault="007C5238" w:rsidP="00DC365C">
            <w:pPr>
              <w:pStyle w:val="ListParagraph"/>
              <w:numPr>
                <w:ilvl w:val="0"/>
                <w:numId w:val="41"/>
              </w:numPr>
              <w:spacing w:after="0"/>
              <w:ind w:left="144" w:hanging="144"/>
              <w:rPr>
                <w:i/>
                <w:sz w:val="22"/>
                <w:szCs w:val="22"/>
                <w:lang w:val="en-US"/>
              </w:rPr>
            </w:pPr>
            <w:r w:rsidRPr="00DC365C">
              <w:rPr>
                <w:i/>
                <w:sz w:val="22"/>
                <w:szCs w:val="22"/>
                <w:lang w:val="en-US"/>
              </w:rPr>
              <w:t>See ERA for shark work</w:t>
            </w:r>
          </w:p>
        </w:tc>
        <w:tc>
          <w:tcPr>
            <w:tcW w:w="1440" w:type="dxa"/>
          </w:tcPr>
          <w:p w:rsidR="005F117B" w:rsidRPr="008016C3" w:rsidRDefault="002C4739" w:rsidP="001D1FA1">
            <w:pPr>
              <w:spacing w:after="0"/>
              <w:rPr>
                <w:sz w:val="22"/>
                <w:szCs w:val="22"/>
                <w:lang w:val="en-US"/>
              </w:rPr>
            </w:pPr>
            <w:r w:rsidRPr="008016C3">
              <w:rPr>
                <w:sz w:val="22"/>
                <w:szCs w:val="22"/>
                <w:lang w:val="en-US"/>
              </w:rPr>
              <w:t>Mid-July</w:t>
            </w:r>
          </w:p>
        </w:tc>
        <w:tc>
          <w:tcPr>
            <w:tcW w:w="1828" w:type="dxa"/>
          </w:tcPr>
          <w:p w:rsidR="005F117B" w:rsidRPr="008016C3" w:rsidRDefault="005F117B" w:rsidP="001D1FA1">
            <w:pPr>
              <w:spacing w:after="0"/>
              <w:rPr>
                <w:sz w:val="22"/>
                <w:szCs w:val="22"/>
                <w:lang w:val="en-US"/>
              </w:rPr>
            </w:pPr>
          </w:p>
        </w:tc>
      </w:tr>
      <w:tr w:rsidR="0037444A" w:rsidRPr="008016C3" w:rsidTr="0099701C">
        <w:trPr>
          <w:tblHeader/>
        </w:trPr>
        <w:tc>
          <w:tcPr>
            <w:tcW w:w="1098" w:type="dxa"/>
            <w:tcBorders>
              <w:bottom w:val="single" w:sz="4" w:space="0" w:color="auto"/>
            </w:tcBorders>
          </w:tcPr>
          <w:p w:rsidR="005F117B" w:rsidRPr="008016C3" w:rsidRDefault="005F117B" w:rsidP="00404977">
            <w:pPr>
              <w:spacing w:after="0"/>
              <w:jc w:val="center"/>
              <w:rPr>
                <w:sz w:val="22"/>
                <w:szCs w:val="22"/>
                <w:lang w:val="en-US"/>
              </w:rPr>
            </w:pPr>
          </w:p>
        </w:tc>
        <w:tc>
          <w:tcPr>
            <w:tcW w:w="7380" w:type="dxa"/>
            <w:tcBorders>
              <w:bottom w:val="single" w:sz="4" w:space="0" w:color="auto"/>
            </w:tcBorders>
          </w:tcPr>
          <w:p w:rsidR="005F117B" w:rsidRPr="008016C3" w:rsidRDefault="00897715" w:rsidP="00F93EB7">
            <w:pPr>
              <w:spacing w:after="0"/>
              <w:rPr>
                <w:sz w:val="22"/>
                <w:szCs w:val="22"/>
                <w:lang w:val="en-US"/>
              </w:rPr>
            </w:pPr>
            <w:r w:rsidRPr="008016C3">
              <w:rPr>
                <w:sz w:val="22"/>
                <w:szCs w:val="22"/>
                <w:lang w:val="en-US"/>
              </w:rPr>
              <w:t xml:space="preserve">2) </w:t>
            </w:r>
            <w:r w:rsidR="00F93EB7" w:rsidRPr="008016C3">
              <w:rPr>
                <w:sz w:val="22"/>
                <w:szCs w:val="22"/>
                <w:lang w:val="en-US"/>
              </w:rPr>
              <w:t>Undertake analyses of longline catch and effort data, and data for other fishing gears where appropriate, including where appropriate operational-level data where possible, to construction of indices of stock target and non-target species</w:t>
            </w:r>
          </w:p>
        </w:tc>
        <w:tc>
          <w:tcPr>
            <w:tcW w:w="2430" w:type="dxa"/>
            <w:tcBorders>
              <w:bottom w:val="single" w:sz="4" w:space="0" w:color="auto"/>
            </w:tcBorders>
          </w:tcPr>
          <w:p w:rsidR="005F117B" w:rsidRPr="00DC365C" w:rsidRDefault="007C5238" w:rsidP="00DC365C">
            <w:pPr>
              <w:pStyle w:val="ListParagraph"/>
              <w:numPr>
                <w:ilvl w:val="0"/>
                <w:numId w:val="42"/>
              </w:numPr>
              <w:spacing w:after="0"/>
              <w:ind w:left="144" w:hanging="144"/>
              <w:rPr>
                <w:sz w:val="22"/>
                <w:szCs w:val="22"/>
                <w:lang w:val="en-US"/>
              </w:rPr>
            </w:pPr>
            <w:r w:rsidRPr="00DC365C">
              <w:rPr>
                <w:sz w:val="22"/>
                <w:szCs w:val="22"/>
                <w:lang w:val="en-US"/>
              </w:rPr>
              <w:t>A</w:t>
            </w:r>
            <w:r w:rsidR="00F93EB7" w:rsidRPr="00DC365C">
              <w:rPr>
                <w:sz w:val="22"/>
                <w:szCs w:val="22"/>
                <w:lang w:val="en-US"/>
              </w:rPr>
              <w:t>nalyses to be undertaken for bigeye, yellowfin, and skipjack tunas</w:t>
            </w:r>
          </w:p>
          <w:p w:rsidR="00F93EB7" w:rsidRPr="00DC365C" w:rsidRDefault="00F93EB7" w:rsidP="00DC365C">
            <w:pPr>
              <w:pStyle w:val="ListParagraph"/>
              <w:numPr>
                <w:ilvl w:val="0"/>
                <w:numId w:val="42"/>
              </w:numPr>
              <w:spacing w:after="0"/>
              <w:ind w:left="144" w:hanging="144"/>
              <w:rPr>
                <w:sz w:val="22"/>
                <w:szCs w:val="22"/>
                <w:lang w:val="en-US"/>
              </w:rPr>
            </w:pPr>
            <w:r w:rsidRPr="00DC365C">
              <w:rPr>
                <w:sz w:val="22"/>
                <w:szCs w:val="22"/>
                <w:lang w:val="en-US"/>
              </w:rPr>
              <w:t>SC papers</w:t>
            </w:r>
          </w:p>
          <w:p w:rsidR="007C5238" w:rsidRPr="00DC365C" w:rsidRDefault="007C5238" w:rsidP="00DC365C">
            <w:pPr>
              <w:pStyle w:val="ListParagraph"/>
              <w:numPr>
                <w:ilvl w:val="0"/>
                <w:numId w:val="42"/>
              </w:numPr>
              <w:spacing w:after="0"/>
              <w:ind w:left="144" w:hanging="144"/>
              <w:rPr>
                <w:sz w:val="22"/>
                <w:szCs w:val="22"/>
                <w:lang w:val="en-US"/>
              </w:rPr>
            </w:pPr>
            <w:r w:rsidRPr="00DC365C">
              <w:rPr>
                <w:i/>
                <w:sz w:val="22"/>
                <w:szCs w:val="22"/>
                <w:lang w:val="en-US"/>
              </w:rPr>
              <w:t>See ERA for shark work</w:t>
            </w:r>
          </w:p>
        </w:tc>
        <w:tc>
          <w:tcPr>
            <w:tcW w:w="1440" w:type="dxa"/>
            <w:tcBorders>
              <w:bottom w:val="single" w:sz="4" w:space="0" w:color="auto"/>
            </w:tcBorders>
          </w:tcPr>
          <w:p w:rsidR="005F117B" w:rsidRPr="008016C3" w:rsidRDefault="002C4739" w:rsidP="001D1FA1">
            <w:pPr>
              <w:spacing w:after="0"/>
              <w:rPr>
                <w:sz w:val="22"/>
                <w:szCs w:val="22"/>
                <w:lang w:val="en-US"/>
              </w:rPr>
            </w:pPr>
            <w:r w:rsidRPr="008016C3">
              <w:rPr>
                <w:sz w:val="22"/>
                <w:szCs w:val="22"/>
                <w:lang w:val="en-US"/>
              </w:rPr>
              <w:t>Mid-July</w:t>
            </w:r>
          </w:p>
        </w:tc>
        <w:tc>
          <w:tcPr>
            <w:tcW w:w="1828" w:type="dxa"/>
            <w:tcBorders>
              <w:bottom w:val="single" w:sz="4" w:space="0" w:color="auto"/>
            </w:tcBorders>
          </w:tcPr>
          <w:p w:rsidR="005F117B" w:rsidRPr="008016C3" w:rsidRDefault="005F117B" w:rsidP="001D1FA1">
            <w:pPr>
              <w:spacing w:after="0"/>
              <w:rPr>
                <w:sz w:val="22"/>
                <w:szCs w:val="22"/>
                <w:lang w:val="en-US"/>
              </w:rPr>
            </w:pPr>
          </w:p>
        </w:tc>
      </w:tr>
      <w:tr w:rsidR="0037444A" w:rsidRPr="008016C3" w:rsidTr="0099701C">
        <w:trPr>
          <w:tblHeader/>
        </w:trPr>
        <w:tc>
          <w:tcPr>
            <w:tcW w:w="1098" w:type="dxa"/>
            <w:shd w:val="clear" w:color="auto" w:fill="000000" w:themeFill="text1"/>
          </w:tcPr>
          <w:p w:rsidR="002C4739" w:rsidRPr="008016C3" w:rsidRDefault="002C4739" w:rsidP="00404977">
            <w:pPr>
              <w:spacing w:after="0"/>
              <w:jc w:val="center"/>
              <w:rPr>
                <w:sz w:val="22"/>
                <w:szCs w:val="22"/>
                <w:lang w:val="en-US"/>
              </w:rPr>
            </w:pPr>
          </w:p>
        </w:tc>
        <w:tc>
          <w:tcPr>
            <w:tcW w:w="7380" w:type="dxa"/>
            <w:shd w:val="clear" w:color="auto" w:fill="000000" w:themeFill="text1"/>
          </w:tcPr>
          <w:p w:rsidR="002C4739" w:rsidRPr="008016C3" w:rsidRDefault="002C4739" w:rsidP="005F117B">
            <w:pPr>
              <w:spacing w:after="0"/>
              <w:rPr>
                <w:sz w:val="22"/>
                <w:szCs w:val="22"/>
                <w:lang w:val="en-US"/>
              </w:rPr>
            </w:pPr>
          </w:p>
        </w:tc>
        <w:tc>
          <w:tcPr>
            <w:tcW w:w="2430" w:type="dxa"/>
            <w:shd w:val="clear" w:color="auto" w:fill="000000" w:themeFill="text1"/>
          </w:tcPr>
          <w:p w:rsidR="002C4739" w:rsidRPr="008016C3" w:rsidRDefault="002C4739" w:rsidP="001D1FA1">
            <w:pPr>
              <w:spacing w:after="0"/>
              <w:rPr>
                <w:sz w:val="22"/>
                <w:szCs w:val="22"/>
                <w:lang w:val="en-US"/>
              </w:rPr>
            </w:pPr>
          </w:p>
        </w:tc>
        <w:tc>
          <w:tcPr>
            <w:tcW w:w="1440" w:type="dxa"/>
            <w:shd w:val="clear" w:color="auto" w:fill="000000" w:themeFill="text1"/>
          </w:tcPr>
          <w:p w:rsidR="002C4739" w:rsidRPr="008016C3" w:rsidRDefault="002C4739" w:rsidP="001D1FA1">
            <w:pPr>
              <w:spacing w:after="0"/>
              <w:rPr>
                <w:sz w:val="22"/>
                <w:szCs w:val="22"/>
                <w:lang w:val="en-US"/>
              </w:rPr>
            </w:pPr>
          </w:p>
        </w:tc>
        <w:tc>
          <w:tcPr>
            <w:tcW w:w="1828" w:type="dxa"/>
            <w:shd w:val="clear" w:color="auto" w:fill="000000" w:themeFill="text1"/>
          </w:tcPr>
          <w:p w:rsidR="002C4739" w:rsidRPr="008016C3" w:rsidRDefault="002C4739" w:rsidP="001D1FA1">
            <w:pPr>
              <w:spacing w:after="0"/>
              <w:rPr>
                <w:sz w:val="22"/>
                <w:szCs w:val="22"/>
                <w:lang w:val="en-US"/>
              </w:rPr>
            </w:pPr>
          </w:p>
        </w:tc>
      </w:tr>
      <w:tr w:rsidR="0037444A" w:rsidRPr="008016C3" w:rsidTr="00FA422E">
        <w:trPr>
          <w:tblHeader/>
        </w:trPr>
        <w:tc>
          <w:tcPr>
            <w:tcW w:w="1098" w:type="dxa"/>
          </w:tcPr>
          <w:p w:rsidR="005F117B" w:rsidRPr="008016C3" w:rsidRDefault="002C4739" w:rsidP="00404977">
            <w:pPr>
              <w:spacing w:after="0"/>
              <w:jc w:val="center"/>
              <w:rPr>
                <w:b/>
                <w:sz w:val="22"/>
                <w:szCs w:val="22"/>
                <w:lang w:val="en-US"/>
              </w:rPr>
            </w:pPr>
            <w:r w:rsidRPr="008016C3">
              <w:rPr>
                <w:b/>
                <w:sz w:val="22"/>
                <w:szCs w:val="22"/>
                <w:lang w:val="en-US"/>
              </w:rPr>
              <w:t>vii.</w:t>
            </w:r>
          </w:p>
          <w:p w:rsidR="002C4739" w:rsidRPr="008016C3" w:rsidRDefault="002C4739" w:rsidP="00404977">
            <w:pPr>
              <w:spacing w:after="0"/>
              <w:jc w:val="center"/>
              <w:rPr>
                <w:b/>
                <w:sz w:val="22"/>
                <w:szCs w:val="22"/>
                <w:lang w:val="en-US"/>
              </w:rPr>
            </w:pPr>
            <w:r w:rsidRPr="008016C3">
              <w:rPr>
                <w:b/>
                <w:sz w:val="22"/>
                <w:szCs w:val="22"/>
                <w:lang w:val="en-US"/>
              </w:rPr>
              <w:t>(29,</w:t>
            </w:r>
            <w:r w:rsidR="00427629" w:rsidRPr="008016C3">
              <w:rPr>
                <w:b/>
                <w:sz w:val="22"/>
                <w:szCs w:val="22"/>
                <w:lang w:val="en-US"/>
              </w:rPr>
              <w:t xml:space="preserve"> </w:t>
            </w:r>
            <w:r w:rsidRPr="008016C3">
              <w:rPr>
                <w:b/>
                <w:sz w:val="22"/>
                <w:szCs w:val="22"/>
                <w:lang w:val="en-US"/>
              </w:rPr>
              <w:t>32)</w:t>
            </w:r>
          </w:p>
        </w:tc>
        <w:tc>
          <w:tcPr>
            <w:tcW w:w="7380" w:type="dxa"/>
            <w:vAlign w:val="center"/>
          </w:tcPr>
          <w:p w:rsidR="005F117B" w:rsidRPr="008016C3" w:rsidRDefault="002C4739" w:rsidP="008016C3">
            <w:pPr>
              <w:spacing w:after="0"/>
              <w:rPr>
                <w:b/>
                <w:i/>
                <w:sz w:val="22"/>
                <w:szCs w:val="22"/>
                <w:lang w:val="en-US"/>
              </w:rPr>
            </w:pPr>
            <w:r w:rsidRPr="008016C3">
              <w:rPr>
                <w:b/>
                <w:i/>
                <w:sz w:val="22"/>
                <w:szCs w:val="22"/>
                <w:lang w:val="en-US"/>
              </w:rPr>
              <w:t>Model development and refinement</w:t>
            </w:r>
          </w:p>
        </w:tc>
        <w:tc>
          <w:tcPr>
            <w:tcW w:w="2430" w:type="dxa"/>
          </w:tcPr>
          <w:p w:rsidR="005F117B" w:rsidRPr="008016C3" w:rsidRDefault="005F117B" w:rsidP="001D1FA1">
            <w:pPr>
              <w:spacing w:after="0"/>
              <w:rPr>
                <w:sz w:val="22"/>
                <w:szCs w:val="22"/>
                <w:lang w:val="en-US"/>
              </w:rPr>
            </w:pPr>
          </w:p>
        </w:tc>
        <w:tc>
          <w:tcPr>
            <w:tcW w:w="1440" w:type="dxa"/>
          </w:tcPr>
          <w:p w:rsidR="005F117B" w:rsidRPr="008016C3" w:rsidRDefault="005F117B" w:rsidP="001D1FA1">
            <w:pPr>
              <w:spacing w:after="0"/>
              <w:rPr>
                <w:sz w:val="22"/>
                <w:szCs w:val="22"/>
                <w:lang w:val="en-US"/>
              </w:rPr>
            </w:pPr>
          </w:p>
        </w:tc>
        <w:tc>
          <w:tcPr>
            <w:tcW w:w="1828" w:type="dxa"/>
          </w:tcPr>
          <w:p w:rsidR="005F117B" w:rsidRPr="008016C3" w:rsidRDefault="005F117B" w:rsidP="001D1FA1">
            <w:pPr>
              <w:spacing w:after="0"/>
              <w:rPr>
                <w:sz w:val="22"/>
                <w:szCs w:val="22"/>
                <w:lang w:val="en-US"/>
              </w:rPr>
            </w:pPr>
          </w:p>
        </w:tc>
      </w:tr>
      <w:tr w:rsidR="0037444A" w:rsidRPr="008016C3" w:rsidTr="0099701C">
        <w:trPr>
          <w:tblHeader/>
        </w:trPr>
        <w:tc>
          <w:tcPr>
            <w:tcW w:w="1098" w:type="dxa"/>
            <w:tcBorders>
              <w:bottom w:val="single" w:sz="4" w:space="0" w:color="auto"/>
            </w:tcBorders>
          </w:tcPr>
          <w:p w:rsidR="005F117B" w:rsidRPr="008016C3" w:rsidRDefault="005F117B" w:rsidP="00404977">
            <w:pPr>
              <w:spacing w:after="0"/>
              <w:jc w:val="center"/>
              <w:rPr>
                <w:sz w:val="22"/>
                <w:szCs w:val="22"/>
                <w:lang w:val="en-US"/>
              </w:rPr>
            </w:pPr>
          </w:p>
        </w:tc>
        <w:tc>
          <w:tcPr>
            <w:tcW w:w="7380" w:type="dxa"/>
            <w:tcBorders>
              <w:bottom w:val="single" w:sz="4" w:space="0" w:color="auto"/>
            </w:tcBorders>
          </w:tcPr>
          <w:p w:rsidR="005F117B" w:rsidRPr="008016C3" w:rsidRDefault="00897715" w:rsidP="005F117B">
            <w:pPr>
              <w:spacing w:after="0"/>
              <w:rPr>
                <w:sz w:val="22"/>
                <w:szCs w:val="22"/>
                <w:lang w:val="en-US"/>
              </w:rPr>
            </w:pPr>
            <w:r w:rsidRPr="008016C3">
              <w:rPr>
                <w:sz w:val="22"/>
                <w:szCs w:val="22"/>
                <w:lang w:val="en-US"/>
              </w:rPr>
              <w:t xml:space="preserve">1) </w:t>
            </w:r>
            <w:r w:rsidR="002C4739" w:rsidRPr="008016C3">
              <w:rPr>
                <w:sz w:val="22"/>
                <w:szCs w:val="22"/>
                <w:lang w:val="en-US"/>
              </w:rPr>
              <w:t>Further refinement of the stock assessment model, MULTIFAN-CL, including simulation testing of new developments as appropriate and refinement of models for CPUE standardization.</w:t>
            </w:r>
          </w:p>
        </w:tc>
        <w:tc>
          <w:tcPr>
            <w:tcW w:w="2430" w:type="dxa"/>
            <w:tcBorders>
              <w:bottom w:val="single" w:sz="4" w:space="0" w:color="auto"/>
            </w:tcBorders>
          </w:tcPr>
          <w:p w:rsidR="002C4739" w:rsidRPr="00DC365C" w:rsidRDefault="002C4739" w:rsidP="00DC365C">
            <w:pPr>
              <w:pStyle w:val="ListParagraph"/>
              <w:numPr>
                <w:ilvl w:val="0"/>
                <w:numId w:val="43"/>
              </w:numPr>
              <w:spacing w:after="0"/>
              <w:ind w:left="144" w:hanging="144"/>
              <w:rPr>
                <w:sz w:val="22"/>
                <w:szCs w:val="22"/>
                <w:lang w:val="en-US"/>
              </w:rPr>
            </w:pPr>
            <w:r w:rsidRPr="00DC365C">
              <w:rPr>
                <w:sz w:val="22"/>
                <w:szCs w:val="22"/>
                <w:lang w:val="en-US"/>
              </w:rPr>
              <w:t>Updated stock assessment modeling software and documentation posted on the MULTIFAN-CL website (also linked from WCPFC)</w:t>
            </w:r>
          </w:p>
          <w:p w:rsidR="005F117B" w:rsidRPr="00DC365C" w:rsidRDefault="002C4739" w:rsidP="00DC365C">
            <w:pPr>
              <w:pStyle w:val="ListParagraph"/>
              <w:numPr>
                <w:ilvl w:val="0"/>
                <w:numId w:val="43"/>
              </w:numPr>
              <w:spacing w:after="0"/>
              <w:ind w:left="144" w:hanging="144"/>
              <w:rPr>
                <w:sz w:val="22"/>
                <w:szCs w:val="22"/>
                <w:lang w:val="en-US"/>
              </w:rPr>
            </w:pPr>
            <w:r w:rsidRPr="00DC365C">
              <w:rPr>
                <w:sz w:val="22"/>
                <w:szCs w:val="22"/>
                <w:lang w:val="en-US"/>
              </w:rPr>
              <w:t>SC paper</w:t>
            </w:r>
          </w:p>
        </w:tc>
        <w:tc>
          <w:tcPr>
            <w:tcW w:w="1440" w:type="dxa"/>
            <w:tcBorders>
              <w:bottom w:val="single" w:sz="4" w:space="0" w:color="auto"/>
            </w:tcBorders>
          </w:tcPr>
          <w:p w:rsidR="005F117B" w:rsidRPr="008016C3" w:rsidRDefault="002C4739" w:rsidP="001D1FA1">
            <w:pPr>
              <w:spacing w:after="0"/>
              <w:rPr>
                <w:sz w:val="22"/>
                <w:szCs w:val="22"/>
                <w:lang w:val="en-US"/>
              </w:rPr>
            </w:pPr>
            <w:r w:rsidRPr="008016C3">
              <w:rPr>
                <w:sz w:val="22"/>
                <w:szCs w:val="22"/>
                <w:lang w:val="en-US"/>
              </w:rPr>
              <w:t>Mid-July</w:t>
            </w:r>
          </w:p>
        </w:tc>
        <w:tc>
          <w:tcPr>
            <w:tcW w:w="1828" w:type="dxa"/>
            <w:tcBorders>
              <w:bottom w:val="single" w:sz="4" w:space="0" w:color="auto"/>
            </w:tcBorders>
          </w:tcPr>
          <w:p w:rsidR="005F117B" w:rsidRPr="008016C3" w:rsidRDefault="005F117B" w:rsidP="001D1FA1">
            <w:pPr>
              <w:spacing w:after="0"/>
              <w:rPr>
                <w:sz w:val="22"/>
                <w:szCs w:val="22"/>
                <w:lang w:val="en-US"/>
              </w:rPr>
            </w:pPr>
          </w:p>
        </w:tc>
      </w:tr>
      <w:tr w:rsidR="0037444A" w:rsidRPr="008016C3" w:rsidTr="0099701C">
        <w:trPr>
          <w:tblHeader/>
        </w:trPr>
        <w:tc>
          <w:tcPr>
            <w:tcW w:w="1098" w:type="dxa"/>
            <w:shd w:val="clear" w:color="auto" w:fill="000000" w:themeFill="text1"/>
          </w:tcPr>
          <w:p w:rsidR="005F117B" w:rsidRPr="008016C3" w:rsidRDefault="005F117B" w:rsidP="00404977">
            <w:pPr>
              <w:spacing w:after="0"/>
              <w:jc w:val="center"/>
              <w:rPr>
                <w:sz w:val="22"/>
                <w:szCs w:val="22"/>
                <w:lang w:val="en-US"/>
              </w:rPr>
            </w:pPr>
          </w:p>
        </w:tc>
        <w:tc>
          <w:tcPr>
            <w:tcW w:w="7380" w:type="dxa"/>
            <w:shd w:val="clear" w:color="auto" w:fill="000000" w:themeFill="text1"/>
          </w:tcPr>
          <w:p w:rsidR="005F117B" w:rsidRPr="008016C3" w:rsidRDefault="005F117B" w:rsidP="005F117B">
            <w:pPr>
              <w:spacing w:after="0"/>
              <w:rPr>
                <w:sz w:val="22"/>
                <w:szCs w:val="22"/>
                <w:lang w:val="en-US"/>
              </w:rPr>
            </w:pPr>
          </w:p>
        </w:tc>
        <w:tc>
          <w:tcPr>
            <w:tcW w:w="2430" w:type="dxa"/>
            <w:shd w:val="clear" w:color="auto" w:fill="000000" w:themeFill="text1"/>
          </w:tcPr>
          <w:p w:rsidR="005F117B" w:rsidRPr="008016C3" w:rsidRDefault="005F117B" w:rsidP="001D1FA1">
            <w:pPr>
              <w:spacing w:after="0"/>
              <w:rPr>
                <w:sz w:val="22"/>
                <w:szCs w:val="22"/>
                <w:lang w:val="en-US"/>
              </w:rPr>
            </w:pPr>
          </w:p>
        </w:tc>
        <w:tc>
          <w:tcPr>
            <w:tcW w:w="1440" w:type="dxa"/>
            <w:shd w:val="clear" w:color="auto" w:fill="000000" w:themeFill="text1"/>
          </w:tcPr>
          <w:p w:rsidR="005F117B" w:rsidRPr="008016C3" w:rsidRDefault="005F117B" w:rsidP="001D1FA1">
            <w:pPr>
              <w:spacing w:after="0"/>
              <w:rPr>
                <w:sz w:val="22"/>
                <w:szCs w:val="22"/>
                <w:lang w:val="en-US"/>
              </w:rPr>
            </w:pPr>
          </w:p>
        </w:tc>
        <w:tc>
          <w:tcPr>
            <w:tcW w:w="1828" w:type="dxa"/>
            <w:shd w:val="clear" w:color="auto" w:fill="000000" w:themeFill="text1"/>
          </w:tcPr>
          <w:p w:rsidR="005F117B" w:rsidRPr="008016C3" w:rsidRDefault="005F117B" w:rsidP="001D1FA1">
            <w:pPr>
              <w:spacing w:after="0"/>
              <w:rPr>
                <w:sz w:val="22"/>
                <w:szCs w:val="22"/>
                <w:lang w:val="en-US"/>
              </w:rPr>
            </w:pPr>
          </w:p>
        </w:tc>
      </w:tr>
    </w:tbl>
    <w:p w:rsidR="003952CC" w:rsidRDefault="003952CC"/>
    <w:p w:rsidR="003952CC" w:rsidRDefault="003952CC"/>
    <w:p w:rsidR="000B5E19" w:rsidRDefault="000B5E19"/>
    <w:tbl>
      <w:tblPr>
        <w:tblStyle w:val="TableGrid"/>
        <w:tblW w:w="0" w:type="auto"/>
        <w:tblLayout w:type="fixed"/>
        <w:tblLook w:val="04A0"/>
      </w:tblPr>
      <w:tblGrid>
        <w:gridCol w:w="1098"/>
        <w:gridCol w:w="7380"/>
        <w:gridCol w:w="2430"/>
        <w:gridCol w:w="90"/>
        <w:gridCol w:w="1350"/>
        <w:gridCol w:w="90"/>
        <w:gridCol w:w="1738"/>
      </w:tblGrid>
      <w:tr w:rsidR="002C4739" w:rsidRPr="008016C3" w:rsidTr="00027504">
        <w:trPr>
          <w:tblHeader/>
        </w:trPr>
        <w:tc>
          <w:tcPr>
            <w:tcW w:w="14176" w:type="dxa"/>
            <w:gridSpan w:val="7"/>
            <w:shd w:val="pct10" w:color="auto" w:fill="auto"/>
          </w:tcPr>
          <w:p w:rsidR="002C4739" w:rsidRPr="008016C3" w:rsidRDefault="002C4739" w:rsidP="002C4739">
            <w:pPr>
              <w:spacing w:after="0"/>
              <w:jc w:val="center"/>
              <w:rPr>
                <w:b/>
                <w:i/>
                <w:sz w:val="22"/>
                <w:szCs w:val="22"/>
                <w:lang w:val="en-US"/>
              </w:rPr>
            </w:pPr>
            <w:r w:rsidRPr="008016C3">
              <w:rPr>
                <w:b/>
                <w:i/>
                <w:sz w:val="22"/>
                <w:szCs w:val="22"/>
                <w:lang w:val="en-US"/>
              </w:rPr>
              <w:t>Management analyses and CMM performance monitoring</w:t>
            </w:r>
          </w:p>
        </w:tc>
      </w:tr>
      <w:tr w:rsidR="0037444A" w:rsidRPr="008016C3" w:rsidTr="00FA422E">
        <w:trPr>
          <w:tblHeader/>
        </w:trPr>
        <w:tc>
          <w:tcPr>
            <w:tcW w:w="1098" w:type="dxa"/>
          </w:tcPr>
          <w:p w:rsidR="005F117B" w:rsidRPr="008016C3" w:rsidRDefault="002C4739" w:rsidP="00404977">
            <w:pPr>
              <w:spacing w:after="0"/>
              <w:jc w:val="center"/>
              <w:rPr>
                <w:b/>
                <w:sz w:val="22"/>
                <w:szCs w:val="22"/>
                <w:lang w:val="en-US"/>
              </w:rPr>
            </w:pPr>
            <w:r w:rsidRPr="008016C3">
              <w:rPr>
                <w:b/>
                <w:sz w:val="22"/>
                <w:szCs w:val="22"/>
                <w:lang w:val="en-US"/>
              </w:rPr>
              <w:t>viii.</w:t>
            </w:r>
          </w:p>
        </w:tc>
        <w:tc>
          <w:tcPr>
            <w:tcW w:w="7380" w:type="dxa"/>
          </w:tcPr>
          <w:p w:rsidR="005F117B" w:rsidRPr="008016C3" w:rsidRDefault="002C4739" w:rsidP="002C4739">
            <w:pPr>
              <w:spacing w:after="0"/>
              <w:rPr>
                <w:b/>
                <w:i/>
                <w:sz w:val="22"/>
                <w:szCs w:val="22"/>
                <w:lang w:val="en-US"/>
              </w:rPr>
            </w:pPr>
            <w:r w:rsidRPr="008016C3">
              <w:rPr>
                <w:b/>
                <w:i/>
                <w:sz w:val="22"/>
                <w:szCs w:val="22"/>
                <w:lang w:val="en-US"/>
              </w:rPr>
              <w:t>Conservation and Management Measure performance monitoring</w:t>
            </w:r>
          </w:p>
        </w:tc>
        <w:tc>
          <w:tcPr>
            <w:tcW w:w="2520" w:type="dxa"/>
            <w:gridSpan w:val="2"/>
          </w:tcPr>
          <w:p w:rsidR="005F117B" w:rsidRPr="008016C3" w:rsidRDefault="005F117B" w:rsidP="001D1FA1">
            <w:pPr>
              <w:spacing w:after="0"/>
              <w:rPr>
                <w:sz w:val="22"/>
                <w:szCs w:val="22"/>
                <w:lang w:val="en-US"/>
              </w:rPr>
            </w:pPr>
          </w:p>
        </w:tc>
        <w:tc>
          <w:tcPr>
            <w:tcW w:w="1350" w:type="dxa"/>
          </w:tcPr>
          <w:p w:rsidR="005F117B" w:rsidRPr="008016C3" w:rsidRDefault="005F117B" w:rsidP="001D1FA1">
            <w:pPr>
              <w:spacing w:after="0"/>
              <w:rPr>
                <w:sz w:val="22"/>
                <w:szCs w:val="22"/>
                <w:lang w:val="en-US"/>
              </w:rPr>
            </w:pPr>
          </w:p>
        </w:tc>
        <w:tc>
          <w:tcPr>
            <w:tcW w:w="1828" w:type="dxa"/>
            <w:gridSpan w:val="2"/>
          </w:tcPr>
          <w:p w:rsidR="005F117B" w:rsidRPr="008016C3" w:rsidRDefault="005F117B" w:rsidP="001D1FA1">
            <w:pPr>
              <w:spacing w:after="0"/>
              <w:rPr>
                <w:sz w:val="22"/>
                <w:szCs w:val="22"/>
                <w:lang w:val="en-US"/>
              </w:rPr>
            </w:pPr>
          </w:p>
        </w:tc>
      </w:tr>
      <w:tr w:rsidR="0037444A" w:rsidRPr="008016C3" w:rsidTr="0099701C">
        <w:trPr>
          <w:tblHeader/>
        </w:trPr>
        <w:tc>
          <w:tcPr>
            <w:tcW w:w="1098" w:type="dxa"/>
            <w:tcBorders>
              <w:bottom w:val="single" w:sz="4" w:space="0" w:color="auto"/>
            </w:tcBorders>
          </w:tcPr>
          <w:p w:rsidR="002C4739" w:rsidRPr="008016C3" w:rsidRDefault="002C4739" w:rsidP="00404977">
            <w:pPr>
              <w:spacing w:after="0"/>
              <w:jc w:val="center"/>
              <w:rPr>
                <w:sz w:val="22"/>
                <w:szCs w:val="22"/>
                <w:lang w:val="en-US"/>
              </w:rPr>
            </w:pPr>
          </w:p>
        </w:tc>
        <w:tc>
          <w:tcPr>
            <w:tcW w:w="7380" w:type="dxa"/>
            <w:tcBorders>
              <w:bottom w:val="single" w:sz="4" w:space="0" w:color="auto"/>
            </w:tcBorders>
          </w:tcPr>
          <w:p w:rsidR="00897715" w:rsidRPr="008016C3" w:rsidRDefault="00897715" w:rsidP="00CF0177">
            <w:pPr>
              <w:spacing w:after="0"/>
              <w:rPr>
                <w:sz w:val="22"/>
                <w:szCs w:val="22"/>
                <w:lang w:val="en-US"/>
              </w:rPr>
            </w:pPr>
            <w:r w:rsidRPr="008016C3">
              <w:rPr>
                <w:sz w:val="22"/>
                <w:szCs w:val="22"/>
                <w:u w:val="single"/>
                <w:lang w:val="en-US"/>
              </w:rPr>
              <w:t xml:space="preserve">1) </w:t>
            </w:r>
            <w:r w:rsidR="00CF0177" w:rsidRPr="008016C3">
              <w:rPr>
                <w:sz w:val="22"/>
                <w:szCs w:val="22"/>
                <w:u w:val="single"/>
                <w:lang w:val="en-US"/>
              </w:rPr>
              <w:t>CMM-2008-01</w:t>
            </w:r>
            <w:r w:rsidR="0052739F" w:rsidRPr="008016C3">
              <w:rPr>
                <w:sz w:val="22"/>
                <w:szCs w:val="22"/>
                <w:u w:val="single"/>
                <w:lang w:val="en-US"/>
              </w:rPr>
              <w:t xml:space="preserve"> [BET and YFT]</w:t>
            </w:r>
            <w:r w:rsidR="007E18D8" w:rsidRPr="008016C3">
              <w:rPr>
                <w:sz w:val="22"/>
                <w:szCs w:val="22"/>
                <w:lang w:val="en-US"/>
              </w:rPr>
              <w:t>:</w:t>
            </w:r>
            <w:r w:rsidR="00CF0177" w:rsidRPr="008016C3">
              <w:rPr>
                <w:sz w:val="22"/>
                <w:szCs w:val="22"/>
                <w:lang w:val="en-US"/>
              </w:rPr>
              <w:t xml:space="preserve"> </w:t>
            </w:r>
          </w:p>
          <w:p w:rsidR="002C4739" w:rsidRPr="008016C3" w:rsidRDefault="00897715" w:rsidP="00CF0177">
            <w:pPr>
              <w:spacing w:after="0"/>
              <w:rPr>
                <w:sz w:val="22"/>
                <w:szCs w:val="22"/>
                <w:lang w:val="en-US"/>
              </w:rPr>
            </w:pPr>
            <w:r w:rsidRPr="008016C3">
              <w:rPr>
                <w:sz w:val="22"/>
                <w:szCs w:val="22"/>
                <w:lang w:val="en-US"/>
              </w:rPr>
              <w:t>P</w:t>
            </w:r>
            <w:r w:rsidR="00CF0177" w:rsidRPr="008016C3">
              <w:rPr>
                <w:sz w:val="22"/>
                <w:szCs w:val="22"/>
                <w:lang w:val="en-US"/>
              </w:rPr>
              <w:t>rovide available data, information, and advice for evaluating the impact of, and compliance with, the various provisions. This includes</w:t>
            </w:r>
            <w:r w:rsidR="00895C57" w:rsidRPr="008016C3">
              <w:rPr>
                <w:rStyle w:val="FootnoteReference"/>
                <w:sz w:val="22"/>
                <w:szCs w:val="22"/>
                <w:lang w:val="en-US"/>
              </w:rPr>
              <w:footnoteReference w:id="3"/>
            </w:r>
            <w:r w:rsidR="00CF0177" w:rsidRPr="008016C3">
              <w:rPr>
                <w:sz w:val="22"/>
                <w:szCs w:val="22"/>
                <w:lang w:val="en-US"/>
              </w:rPr>
              <w:t>:</w:t>
            </w:r>
          </w:p>
          <w:p w:rsidR="0052739F" w:rsidRPr="008016C3" w:rsidRDefault="0052739F" w:rsidP="004F1312">
            <w:pPr>
              <w:pStyle w:val="ListParagraph"/>
              <w:numPr>
                <w:ilvl w:val="0"/>
                <w:numId w:val="31"/>
              </w:numPr>
              <w:spacing w:after="0"/>
              <w:rPr>
                <w:sz w:val="22"/>
                <w:szCs w:val="22"/>
                <w:lang w:val="en-US"/>
              </w:rPr>
            </w:pPr>
            <w:r w:rsidRPr="008016C3">
              <w:rPr>
                <w:sz w:val="22"/>
                <w:szCs w:val="22"/>
                <w:lang w:val="en-US"/>
              </w:rPr>
              <w:t>Provide advice on the appropriateness of the objectives of the measure given available stock assessment information</w:t>
            </w:r>
            <w:r w:rsidR="004F1312" w:rsidRPr="008016C3">
              <w:rPr>
                <w:sz w:val="22"/>
                <w:szCs w:val="22"/>
                <w:lang w:val="en-US"/>
              </w:rPr>
              <w:t xml:space="preserve"> (paragraphs 1 and 46)</w:t>
            </w:r>
            <w:r w:rsidR="00261D29" w:rsidRPr="008016C3">
              <w:rPr>
                <w:sz w:val="22"/>
                <w:szCs w:val="22"/>
                <w:lang w:val="en-US"/>
              </w:rPr>
              <w:t>*</w:t>
            </w:r>
          </w:p>
          <w:p w:rsidR="00CF0177" w:rsidRPr="008016C3" w:rsidRDefault="0052739F" w:rsidP="00CF0177">
            <w:pPr>
              <w:pStyle w:val="ListParagraph"/>
              <w:numPr>
                <w:ilvl w:val="0"/>
                <w:numId w:val="31"/>
              </w:numPr>
              <w:spacing w:after="0"/>
              <w:rPr>
                <w:sz w:val="22"/>
                <w:szCs w:val="22"/>
                <w:lang w:val="en-US"/>
              </w:rPr>
            </w:pPr>
            <w:r w:rsidRPr="008016C3">
              <w:rPr>
                <w:sz w:val="22"/>
                <w:szCs w:val="22"/>
                <w:lang w:val="en-US"/>
              </w:rPr>
              <w:t>Provide a</w:t>
            </w:r>
            <w:r w:rsidR="004F1312" w:rsidRPr="008016C3">
              <w:rPr>
                <w:sz w:val="22"/>
                <w:szCs w:val="22"/>
                <w:lang w:val="en-US"/>
              </w:rPr>
              <w:t>n</w:t>
            </w:r>
            <w:r w:rsidRPr="008016C3">
              <w:rPr>
                <w:sz w:val="22"/>
                <w:szCs w:val="22"/>
                <w:lang w:val="en-US"/>
              </w:rPr>
              <w:t xml:space="preserve"> assessment of the expected impacts of the </w:t>
            </w:r>
            <w:r w:rsidR="004F1312" w:rsidRPr="008016C3">
              <w:rPr>
                <w:sz w:val="22"/>
                <w:szCs w:val="22"/>
                <w:lang w:val="en-US"/>
              </w:rPr>
              <w:t>provisions of the measure</w:t>
            </w:r>
            <w:r w:rsidRPr="008016C3">
              <w:rPr>
                <w:sz w:val="22"/>
                <w:szCs w:val="22"/>
                <w:lang w:val="en-US"/>
              </w:rPr>
              <w:t xml:space="preserve"> with respect to its objectives (paragraphs 1 and 46)</w:t>
            </w:r>
            <w:r w:rsidR="00261D29" w:rsidRPr="008016C3">
              <w:rPr>
                <w:sz w:val="22"/>
                <w:szCs w:val="22"/>
                <w:lang w:val="en-US"/>
              </w:rPr>
              <w:t>*</w:t>
            </w:r>
          </w:p>
          <w:p w:rsidR="0052739F" w:rsidRPr="008016C3" w:rsidRDefault="0052739F" w:rsidP="0052739F">
            <w:pPr>
              <w:pStyle w:val="ListParagraph"/>
              <w:numPr>
                <w:ilvl w:val="0"/>
                <w:numId w:val="31"/>
              </w:numPr>
              <w:spacing w:after="0"/>
              <w:rPr>
                <w:sz w:val="22"/>
                <w:szCs w:val="22"/>
                <w:lang w:val="en-US"/>
              </w:rPr>
            </w:pPr>
            <w:r w:rsidRPr="008016C3">
              <w:rPr>
                <w:sz w:val="22"/>
                <w:szCs w:val="22"/>
                <w:lang w:val="en-US"/>
              </w:rPr>
              <w:t>Calculate total days fished of the purse seine fishery for EEZs, archipelagic wat</w:t>
            </w:r>
            <w:r w:rsidR="004F1312" w:rsidRPr="008016C3">
              <w:rPr>
                <w:sz w:val="22"/>
                <w:szCs w:val="22"/>
                <w:lang w:val="en-US"/>
              </w:rPr>
              <w:t xml:space="preserve">ers, high seas regions, by flag </w:t>
            </w:r>
            <w:r w:rsidRPr="008016C3">
              <w:rPr>
                <w:sz w:val="22"/>
                <w:szCs w:val="22"/>
                <w:lang w:val="en-US"/>
              </w:rPr>
              <w:t>(paragraphs 5, 9, 10, and 11)</w:t>
            </w:r>
          </w:p>
          <w:p w:rsidR="00261D29" w:rsidRPr="008016C3" w:rsidRDefault="00261D29" w:rsidP="00261D29">
            <w:pPr>
              <w:pStyle w:val="ListParagraph"/>
              <w:numPr>
                <w:ilvl w:val="0"/>
                <w:numId w:val="31"/>
              </w:numPr>
              <w:spacing w:after="0"/>
              <w:rPr>
                <w:sz w:val="22"/>
                <w:szCs w:val="22"/>
                <w:lang w:val="en-US"/>
              </w:rPr>
            </w:pPr>
            <w:r w:rsidRPr="008016C3">
              <w:rPr>
                <w:sz w:val="22"/>
                <w:szCs w:val="22"/>
                <w:lang w:val="en-US"/>
              </w:rPr>
              <w:t>Compile bigeye and yellowfin catch estimates from longline fisheries by flag, taking into account paragraphs 2 and 36, and the footnotes to the tables in Attachment F of the CMM2008-01</w:t>
            </w:r>
          </w:p>
          <w:p w:rsidR="0052739F" w:rsidRPr="008016C3" w:rsidRDefault="00261D29" w:rsidP="0052739F">
            <w:pPr>
              <w:pStyle w:val="ListParagraph"/>
              <w:numPr>
                <w:ilvl w:val="0"/>
                <w:numId w:val="31"/>
              </w:numPr>
              <w:spacing w:after="0"/>
              <w:rPr>
                <w:sz w:val="22"/>
                <w:szCs w:val="22"/>
                <w:lang w:val="en-US"/>
              </w:rPr>
            </w:pPr>
            <w:r w:rsidRPr="008016C3">
              <w:rPr>
                <w:sz w:val="22"/>
                <w:szCs w:val="22"/>
                <w:lang w:val="en-US"/>
              </w:rPr>
              <w:t>Characterisation</w:t>
            </w:r>
            <w:r w:rsidR="0052739F" w:rsidRPr="008016C3">
              <w:rPr>
                <w:sz w:val="22"/>
                <w:szCs w:val="22"/>
                <w:lang w:val="en-US"/>
              </w:rPr>
              <w:t xml:space="preserve"> of purse seine fishing activities during FAD closures</w:t>
            </w:r>
            <w:r w:rsidRPr="008016C3">
              <w:rPr>
                <w:sz w:val="22"/>
                <w:szCs w:val="22"/>
                <w:lang w:val="en-US"/>
              </w:rPr>
              <w:t>*</w:t>
            </w:r>
          </w:p>
          <w:p w:rsidR="004F1312" w:rsidRPr="008016C3" w:rsidRDefault="004F1312" w:rsidP="004F1312">
            <w:pPr>
              <w:pStyle w:val="ListParagraph"/>
              <w:numPr>
                <w:ilvl w:val="0"/>
                <w:numId w:val="31"/>
              </w:numPr>
              <w:spacing w:after="0"/>
              <w:rPr>
                <w:sz w:val="22"/>
                <w:szCs w:val="22"/>
                <w:lang w:val="en-US"/>
              </w:rPr>
            </w:pPr>
            <w:r w:rsidRPr="008016C3">
              <w:rPr>
                <w:sz w:val="22"/>
                <w:szCs w:val="22"/>
                <w:lang w:val="en-US"/>
              </w:rPr>
              <w:t>Provide data and information to identify the level of compliance of CCMs in relation to data reporting requirements (paragraph 41)</w:t>
            </w:r>
          </w:p>
          <w:p w:rsidR="00EE0D9A" w:rsidRPr="008016C3" w:rsidRDefault="00EE0D9A" w:rsidP="004F1312">
            <w:pPr>
              <w:pStyle w:val="ListParagraph"/>
              <w:numPr>
                <w:ilvl w:val="0"/>
                <w:numId w:val="31"/>
              </w:numPr>
              <w:spacing w:after="0"/>
              <w:rPr>
                <w:sz w:val="22"/>
                <w:szCs w:val="22"/>
                <w:lang w:val="en-US"/>
              </w:rPr>
            </w:pPr>
            <w:r w:rsidRPr="008016C3">
              <w:rPr>
                <w:sz w:val="22"/>
                <w:szCs w:val="22"/>
              </w:rPr>
              <w:t xml:space="preserve">Subject to </w:t>
            </w:r>
            <w:r w:rsidR="00532441" w:rsidRPr="008016C3">
              <w:rPr>
                <w:sz w:val="22"/>
                <w:szCs w:val="22"/>
              </w:rPr>
              <w:t>data</w:t>
            </w:r>
            <w:r w:rsidRPr="008016C3">
              <w:rPr>
                <w:sz w:val="22"/>
                <w:szCs w:val="22"/>
              </w:rPr>
              <w:t xml:space="preserve"> availability, </w:t>
            </w:r>
            <w:r w:rsidR="00532441" w:rsidRPr="008016C3">
              <w:rPr>
                <w:sz w:val="22"/>
                <w:szCs w:val="22"/>
              </w:rPr>
              <w:t>update</w:t>
            </w:r>
            <w:r w:rsidRPr="008016C3">
              <w:rPr>
                <w:bCs/>
                <w:sz w:val="22"/>
                <w:szCs w:val="22"/>
              </w:rPr>
              <w:t xml:space="preserve"> assessments on the CCM’s bigeye and yellowfin tuna catch and effort reported from other commercial tuna fisheries, and advice on CCM’s proposals, for consideration at SC6</w:t>
            </w:r>
            <w:r w:rsidR="00532441" w:rsidRPr="008016C3">
              <w:rPr>
                <w:bCs/>
                <w:sz w:val="22"/>
                <w:szCs w:val="22"/>
              </w:rPr>
              <w:t xml:space="preserve"> (paragraph 39)</w:t>
            </w:r>
          </w:p>
          <w:p w:rsidR="004F1312" w:rsidRPr="00F860DF" w:rsidRDefault="00532441" w:rsidP="00F860DF">
            <w:pPr>
              <w:pStyle w:val="ListParagraph"/>
              <w:numPr>
                <w:ilvl w:val="0"/>
                <w:numId w:val="31"/>
              </w:numPr>
              <w:spacing w:after="0"/>
              <w:rPr>
                <w:sz w:val="22"/>
                <w:szCs w:val="22"/>
                <w:lang w:val="en-US"/>
              </w:rPr>
            </w:pPr>
            <w:r w:rsidRPr="00F860DF">
              <w:rPr>
                <w:sz w:val="22"/>
                <w:szCs w:val="22"/>
                <w:lang w:val="en-US"/>
              </w:rPr>
              <w:t>Update</w:t>
            </w:r>
            <w:r w:rsidR="00C83631" w:rsidRPr="00F860DF">
              <w:rPr>
                <w:sz w:val="22"/>
                <w:szCs w:val="22"/>
                <w:lang w:val="en-US"/>
              </w:rPr>
              <w:t>, if necessary,</w:t>
            </w:r>
            <w:r w:rsidR="004F1312" w:rsidRPr="00F860DF">
              <w:rPr>
                <w:sz w:val="22"/>
                <w:szCs w:val="22"/>
                <w:lang w:val="en-US"/>
              </w:rPr>
              <w:t xml:space="preserve"> data, information and advice to </w:t>
            </w:r>
            <w:r w:rsidR="00C83631" w:rsidRPr="00F860DF">
              <w:rPr>
                <w:sz w:val="22"/>
                <w:szCs w:val="22"/>
                <w:lang w:val="en-US"/>
              </w:rPr>
              <w:t xml:space="preserve">further consider at SC6 </w:t>
            </w:r>
            <w:r w:rsidR="006B5912">
              <w:rPr>
                <w:sz w:val="22"/>
                <w:szCs w:val="22"/>
                <w:lang w:val="en-US"/>
              </w:rPr>
              <w:t xml:space="preserve">a </w:t>
            </w:r>
            <w:r w:rsidR="004F1312" w:rsidRPr="00F860DF">
              <w:rPr>
                <w:sz w:val="22"/>
                <w:szCs w:val="22"/>
                <w:lang w:val="en-US"/>
              </w:rPr>
              <w:t xml:space="preserve">HS VDS for purse seine effort management (paragraph 21) </w:t>
            </w:r>
          </w:p>
        </w:tc>
        <w:tc>
          <w:tcPr>
            <w:tcW w:w="2520" w:type="dxa"/>
            <w:gridSpan w:val="2"/>
            <w:tcBorders>
              <w:bottom w:val="single" w:sz="4" w:space="0" w:color="auto"/>
            </w:tcBorders>
          </w:tcPr>
          <w:p w:rsidR="002C4739" w:rsidRPr="00DC365C" w:rsidRDefault="004F1312" w:rsidP="00DC365C">
            <w:pPr>
              <w:pStyle w:val="ListParagraph"/>
              <w:numPr>
                <w:ilvl w:val="0"/>
                <w:numId w:val="44"/>
              </w:numPr>
              <w:spacing w:after="0"/>
              <w:ind w:left="144" w:hanging="144"/>
              <w:rPr>
                <w:sz w:val="22"/>
                <w:szCs w:val="22"/>
                <w:lang w:val="en-US"/>
              </w:rPr>
            </w:pPr>
            <w:r w:rsidRPr="00DC365C">
              <w:rPr>
                <w:sz w:val="22"/>
                <w:szCs w:val="22"/>
                <w:lang w:val="en-US"/>
              </w:rPr>
              <w:t>SC, TCC, and WCPFC papers</w:t>
            </w:r>
          </w:p>
          <w:p w:rsidR="004F1312" w:rsidRPr="00DC365C" w:rsidRDefault="007C5238" w:rsidP="00DC365C">
            <w:pPr>
              <w:pStyle w:val="ListParagraph"/>
              <w:numPr>
                <w:ilvl w:val="0"/>
                <w:numId w:val="44"/>
              </w:numPr>
              <w:spacing w:after="0"/>
              <w:ind w:left="144" w:hanging="144"/>
              <w:rPr>
                <w:sz w:val="22"/>
                <w:szCs w:val="22"/>
                <w:lang w:val="en-US"/>
              </w:rPr>
            </w:pPr>
            <w:r w:rsidRPr="00DC365C">
              <w:rPr>
                <w:sz w:val="22"/>
                <w:szCs w:val="22"/>
                <w:lang w:val="en-US"/>
              </w:rPr>
              <w:t>T</w:t>
            </w:r>
            <w:r w:rsidR="004F1312" w:rsidRPr="00DC365C">
              <w:rPr>
                <w:sz w:val="22"/>
                <w:szCs w:val="22"/>
                <w:lang w:val="en-US"/>
              </w:rPr>
              <w:t>ables and figures and required</w:t>
            </w:r>
          </w:p>
        </w:tc>
        <w:tc>
          <w:tcPr>
            <w:tcW w:w="1350" w:type="dxa"/>
            <w:tcBorders>
              <w:bottom w:val="single" w:sz="4" w:space="0" w:color="auto"/>
            </w:tcBorders>
          </w:tcPr>
          <w:p w:rsidR="002C4739" w:rsidRPr="008016C3" w:rsidRDefault="004F1312" w:rsidP="001D1FA1">
            <w:pPr>
              <w:spacing w:after="0"/>
              <w:rPr>
                <w:sz w:val="22"/>
                <w:szCs w:val="22"/>
                <w:lang w:val="en-US"/>
              </w:rPr>
            </w:pPr>
            <w:r w:rsidRPr="008016C3">
              <w:rPr>
                <w:sz w:val="22"/>
                <w:szCs w:val="22"/>
                <w:lang w:val="en-US"/>
              </w:rPr>
              <w:t>Mid-July, Mid-Sept, and Mid-Nov</w:t>
            </w:r>
          </w:p>
        </w:tc>
        <w:tc>
          <w:tcPr>
            <w:tcW w:w="1828" w:type="dxa"/>
            <w:gridSpan w:val="2"/>
            <w:tcBorders>
              <w:bottom w:val="single" w:sz="4" w:space="0" w:color="auto"/>
            </w:tcBorders>
          </w:tcPr>
          <w:p w:rsidR="002C4739" w:rsidRPr="008016C3" w:rsidRDefault="002C4739" w:rsidP="001D1FA1">
            <w:pPr>
              <w:spacing w:after="0"/>
              <w:rPr>
                <w:sz w:val="22"/>
                <w:szCs w:val="22"/>
                <w:lang w:val="en-US"/>
              </w:rPr>
            </w:pPr>
          </w:p>
        </w:tc>
      </w:tr>
      <w:tr w:rsidR="0037444A" w:rsidRPr="008016C3" w:rsidTr="0099701C">
        <w:trPr>
          <w:tblHeader/>
        </w:trPr>
        <w:tc>
          <w:tcPr>
            <w:tcW w:w="1098" w:type="dxa"/>
            <w:shd w:val="clear" w:color="auto" w:fill="000000" w:themeFill="text1"/>
          </w:tcPr>
          <w:p w:rsidR="00867DD5" w:rsidRPr="008016C3" w:rsidRDefault="00867DD5" w:rsidP="00404977">
            <w:pPr>
              <w:spacing w:after="0"/>
              <w:jc w:val="center"/>
              <w:rPr>
                <w:sz w:val="22"/>
                <w:szCs w:val="22"/>
                <w:lang w:val="en-US"/>
              </w:rPr>
            </w:pPr>
          </w:p>
        </w:tc>
        <w:tc>
          <w:tcPr>
            <w:tcW w:w="7380" w:type="dxa"/>
            <w:shd w:val="clear" w:color="auto" w:fill="000000" w:themeFill="text1"/>
          </w:tcPr>
          <w:p w:rsidR="00867DD5" w:rsidRPr="008016C3" w:rsidRDefault="00867DD5" w:rsidP="00BA6536">
            <w:pPr>
              <w:spacing w:after="0"/>
              <w:rPr>
                <w:sz w:val="22"/>
                <w:szCs w:val="22"/>
                <w:u w:val="single"/>
                <w:lang w:val="en-US"/>
              </w:rPr>
            </w:pPr>
          </w:p>
        </w:tc>
        <w:tc>
          <w:tcPr>
            <w:tcW w:w="2520" w:type="dxa"/>
            <w:gridSpan w:val="2"/>
            <w:shd w:val="clear" w:color="auto" w:fill="000000" w:themeFill="text1"/>
          </w:tcPr>
          <w:p w:rsidR="00867DD5" w:rsidRPr="008016C3" w:rsidRDefault="00867DD5" w:rsidP="001D1FA1">
            <w:pPr>
              <w:spacing w:after="0"/>
              <w:rPr>
                <w:sz w:val="22"/>
                <w:szCs w:val="22"/>
                <w:lang w:val="en-US"/>
              </w:rPr>
            </w:pPr>
          </w:p>
        </w:tc>
        <w:tc>
          <w:tcPr>
            <w:tcW w:w="1350" w:type="dxa"/>
            <w:shd w:val="clear" w:color="auto" w:fill="000000" w:themeFill="text1"/>
          </w:tcPr>
          <w:p w:rsidR="00867DD5" w:rsidRPr="008016C3" w:rsidRDefault="00867DD5" w:rsidP="001D1FA1">
            <w:pPr>
              <w:spacing w:after="0"/>
              <w:rPr>
                <w:sz w:val="22"/>
                <w:szCs w:val="22"/>
                <w:lang w:val="en-US"/>
              </w:rPr>
            </w:pPr>
          </w:p>
        </w:tc>
        <w:tc>
          <w:tcPr>
            <w:tcW w:w="1828" w:type="dxa"/>
            <w:gridSpan w:val="2"/>
            <w:shd w:val="clear" w:color="auto" w:fill="000000" w:themeFill="text1"/>
          </w:tcPr>
          <w:p w:rsidR="00867DD5" w:rsidRPr="008016C3" w:rsidRDefault="00867DD5" w:rsidP="001D1FA1">
            <w:pPr>
              <w:spacing w:after="0"/>
              <w:rPr>
                <w:sz w:val="22"/>
                <w:szCs w:val="22"/>
                <w:lang w:val="en-US"/>
              </w:rPr>
            </w:pPr>
          </w:p>
        </w:tc>
      </w:tr>
      <w:tr w:rsidR="0037444A" w:rsidRPr="008016C3" w:rsidTr="00FA422E">
        <w:trPr>
          <w:tblHeader/>
        </w:trPr>
        <w:tc>
          <w:tcPr>
            <w:tcW w:w="1098" w:type="dxa"/>
          </w:tcPr>
          <w:p w:rsidR="00867DD5" w:rsidRPr="008016C3" w:rsidRDefault="00867DD5" w:rsidP="00867DD5">
            <w:pPr>
              <w:spacing w:after="0"/>
              <w:jc w:val="center"/>
              <w:rPr>
                <w:b/>
                <w:sz w:val="22"/>
                <w:szCs w:val="22"/>
                <w:lang w:val="en-US"/>
              </w:rPr>
            </w:pPr>
            <w:r w:rsidRPr="008016C3">
              <w:rPr>
                <w:b/>
                <w:sz w:val="22"/>
                <w:szCs w:val="22"/>
                <w:lang w:val="en-US"/>
              </w:rPr>
              <w:t>ix.</w:t>
            </w:r>
          </w:p>
          <w:p w:rsidR="00867DD5" w:rsidRPr="008016C3" w:rsidRDefault="00867DD5" w:rsidP="00867DD5">
            <w:pPr>
              <w:spacing w:after="0"/>
              <w:jc w:val="center"/>
              <w:rPr>
                <w:b/>
                <w:sz w:val="22"/>
                <w:szCs w:val="22"/>
                <w:lang w:val="en-US"/>
              </w:rPr>
            </w:pPr>
            <w:r w:rsidRPr="008016C3">
              <w:rPr>
                <w:b/>
                <w:sz w:val="22"/>
                <w:szCs w:val="22"/>
                <w:lang w:val="en-US"/>
              </w:rPr>
              <w:t>(34</w:t>
            </w:r>
            <w:r w:rsidR="009C1026" w:rsidRPr="008016C3">
              <w:rPr>
                <w:b/>
                <w:sz w:val="22"/>
                <w:szCs w:val="22"/>
                <w:lang w:val="en-US"/>
              </w:rPr>
              <w:t>, 57, 58, 63</w:t>
            </w:r>
            <w:r w:rsidRPr="008016C3">
              <w:rPr>
                <w:b/>
                <w:sz w:val="22"/>
                <w:szCs w:val="22"/>
                <w:lang w:val="en-US"/>
              </w:rPr>
              <w:t>)</w:t>
            </w:r>
          </w:p>
        </w:tc>
        <w:tc>
          <w:tcPr>
            <w:tcW w:w="7380" w:type="dxa"/>
            <w:vAlign w:val="center"/>
          </w:tcPr>
          <w:p w:rsidR="00867DD5" w:rsidRPr="008016C3" w:rsidRDefault="00867DD5" w:rsidP="008016C3">
            <w:pPr>
              <w:spacing w:after="0"/>
              <w:rPr>
                <w:b/>
                <w:i/>
                <w:sz w:val="22"/>
                <w:szCs w:val="22"/>
                <w:lang w:val="en-US"/>
              </w:rPr>
            </w:pPr>
            <w:r w:rsidRPr="008016C3">
              <w:rPr>
                <w:b/>
                <w:i/>
                <w:sz w:val="22"/>
                <w:szCs w:val="22"/>
                <w:lang w:val="en-US"/>
              </w:rPr>
              <w:t>Analyses to support development of Conservation and Management Measures</w:t>
            </w:r>
          </w:p>
        </w:tc>
        <w:tc>
          <w:tcPr>
            <w:tcW w:w="2520" w:type="dxa"/>
            <w:gridSpan w:val="2"/>
          </w:tcPr>
          <w:p w:rsidR="00867DD5" w:rsidRPr="008016C3" w:rsidRDefault="00867DD5" w:rsidP="001D1FA1">
            <w:pPr>
              <w:spacing w:after="0"/>
              <w:rPr>
                <w:sz w:val="22"/>
                <w:szCs w:val="22"/>
                <w:lang w:val="en-US"/>
              </w:rPr>
            </w:pPr>
          </w:p>
        </w:tc>
        <w:tc>
          <w:tcPr>
            <w:tcW w:w="1350" w:type="dxa"/>
          </w:tcPr>
          <w:p w:rsidR="00867DD5" w:rsidRPr="008016C3" w:rsidRDefault="00867DD5" w:rsidP="001D1FA1">
            <w:pPr>
              <w:spacing w:after="0"/>
              <w:rPr>
                <w:sz w:val="22"/>
                <w:szCs w:val="22"/>
                <w:lang w:val="en-US"/>
              </w:rPr>
            </w:pPr>
          </w:p>
        </w:tc>
        <w:tc>
          <w:tcPr>
            <w:tcW w:w="1828" w:type="dxa"/>
            <w:gridSpan w:val="2"/>
          </w:tcPr>
          <w:p w:rsidR="00867DD5" w:rsidRPr="008016C3" w:rsidRDefault="00867DD5" w:rsidP="001D1FA1">
            <w:pPr>
              <w:spacing w:after="0"/>
              <w:rPr>
                <w:sz w:val="22"/>
                <w:szCs w:val="22"/>
                <w:lang w:val="en-US"/>
              </w:rPr>
            </w:pPr>
          </w:p>
        </w:tc>
      </w:tr>
      <w:tr w:rsidR="0037444A" w:rsidRPr="008016C3" w:rsidTr="00FA422E">
        <w:trPr>
          <w:tblHeader/>
        </w:trPr>
        <w:tc>
          <w:tcPr>
            <w:tcW w:w="1098" w:type="dxa"/>
          </w:tcPr>
          <w:p w:rsidR="0037444A" w:rsidRPr="008016C3" w:rsidRDefault="0037444A" w:rsidP="00404977">
            <w:pPr>
              <w:spacing w:after="0"/>
              <w:jc w:val="center"/>
              <w:rPr>
                <w:sz w:val="22"/>
                <w:szCs w:val="22"/>
                <w:lang w:val="en-US"/>
              </w:rPr>
            </w:pPr>
          </w:p>
        </w:tc>
        <w:tc>
          <w:tcPr>
            <w:tcW w:w="7380" w:type="dxa"/>
          </w:tcPr>
          <w:p w:rsidR="0037444A" w:rsidRPr="008016C3" w:rsidRDefault="00897715" w:rsidP="00BA6536">
            <w:pPr>
              <w:spacing w:after="0"/>
              <w:rPr>
                <w:sz w:val="22"/>
                <w:szCs w:val="22"/>
                <w:lang w:val="en-US"/>
              </w:rPr>
            </w:pPr>
            <w:r w:rsidRPr="008016C3">
              <w:rPr>
                <w:sz w:val="22"/>
                <w:szCs w:val="22"/>
                <w:lang w:val="en-US"/>
              </w:rPr>
              <w:t xml:space="preserve">1) </w:t>
            </w:r>
            <w:r w:rsidR="0037444A" w:rsidRPr="008016C3">
              <w:rPr>
                <w:sz w:val="22"/>
                <w:szCs w:val="22"/>
                <w:lang w:val="en-US"/>
              </w:rPr>
              <w:t>Further review of spatio-temporal aspects of catches of juvenile bigeye and yellowfin tuna caught in association with fish aggregating devices (FADs)</w:t>
            </w:r>
          </w:p>
        </w:tc>
        <w:tc>
          <w:tcPr>
            <w:tcW w:w="2520" w:type="dxa"/>
            <w:gridSpan w:val="2"/>
          </w:tcPr>
          <w:p w:rsidR="0037444A" w:rsidRPr="008016C3" w:rsidRDefault="0037444A" w:rsidP="00AC5214">
            <w:pPr>
              <w:spacing w:after="0"/>
              <w:rPr>
                <w:sz w:val="22"/>
                <w:szCs w:val="22"/>
                <w:lang w:val="en-US"/>
              </w:rPr>
            </w:pPr>
            <w:r w:rsidRPr="008016C3">
              <w:rPr>
                <w:sz w:val="22"/>
                <w:szCs w:val="22"/>
                <w:lang w:val="en-US"/>
              </w:rPr>
              <w:t>SC, TCC, and WCPFC papers</w:t>
            </w:r>
          </w:p>
          <w:p w:rsidR="0037444A" w:rsidRPr="008016C3" w:rsidRDefault="0037444A" w:rsidP="00AC5214">
            <w:pPr>
              <w:spacing w:after="0"/>
              <w:rPr>
                <w:sz w:val="22"/>
                <w:szCs w:val="22"/>
                <w:lang w:val="en-US"/>
              </w:rPr>
            </w:pPr>
          </w:p>
        </w:tc>
        <w:tc>
          <w:tcPr>
            <w:tcW w:w="1350" w:type="dxa"/>
          </w:tcPr>
          <w:p w:rsidR="0037444A" w:rsidRPr="008016C3" w:rsidRDefault="0037444A" w:rsidP="00AC5214">
            <w:pPr>
              <w:spacing w:after="0"/>
              <w:rPr>
                <w:sz w:val="22"/>
                <w:szCs w:val="22"/>
                <w:lang w:val="en-US"/>
              </w:rPr>
            </w:pPr>
            <w:r w:rsidRPr="008016C3">
              <w:rPr>
                <w:sz w:val="22"/>
                <w:szCs w:val="22"/>
                <w:lang w:val="en-US"/>
              </w:rPr>
              <w:t>Mid-July, Mid-Sept, and Mid-Nov</w:t>
            </w:r>
          </w:p>
        </w:tc>
        <w:tc>
          <w:tcPr>
            <w:tcW w:w="1828" w:type="dxa"/>
            <w:gridSpan w:val="2"/>
          </w:tcPr>
          <w:p w:rsidR="0037444A" w:rsidRPr="008016C3" w:rsidRDefault="0037444A" w:rsidP="001D1FA1">
            <w:pPr>
              <w:spacing w:after="0"/>
              <w:rPr>
                <w:sz w:val="22"/>
                <w:szCs w:val="22"/>
                <w:lang w:val="en-US"/>
              </w:rPr>
            </w:pPr>
          </w:p>
        </w:tc>
      </w:tr>
      <w:tr w:rsidR="0037444A" w:rsidRPr="008016C3" w:rsidTr="00FA422E">
        <w:trPr>
          <w:tblHeader/>
        </w:trPr>
        <w:tc>
          <w:tcPr>
            <w:tcW w:w="1098" w:type="dxa"/>
          </w:tcPr>
          <w:p w:rsidR="0037444A" w:rsidRPr="008016C3" w:rsidRDefault="0037444A" w:rsidP="00404977">
            <w:pPr>
              <w:spacing w:after="0"/>
              <w:jc w:val="center"/>
              <w:rPr>
                <w:sz w:val="22"/>
                <w:szCs w:val="22"/>
                <w:lang w:val="en-US"/>
              </w:rPr>
            </w:pPr>
          </w:p>
        </w:tc>
        <w:tc>
          <w:tcPr>
            <w:tcW w:w="7380" w:type="dxa"/>
          </w:tcPr>
          <w:p w:rsidR="0037444A" w:rsidRPr="008016C3" w:rsidRDefault="00897715" w:rsidP="00A53506">
            <w:pPr>
              <w:spacing w:after="0"/>
              <w:rPr>
                <w:sz w:val="22"/>
                <w:szCs w:val="22"/>
                <w:lang w:val="en-US"/>
              </w:rPr>
            </w:pPr>
            <w:r w:rsidRPr="008016C3">
              <w:rPr>
                <w:sz w:val="22"/>
                <w:szCs w:val="22"/>
                <w:lang w:val="en-US"/>
              </w:rPr>
              <w:t xml:space="preserve">2) </w:t>
            </w:r>
            <w:r w:rsidR="0037444A" w:rsidRPr="008016C3">
              <w:rPr>
                <w:sz w:val="22"/>
                <w:szCs w:val="22"/>
                <w:lang w:val="en-US"/>
              </w:rPr>
              <w:t>Subject to available resources, evaluate the potential impacts of possible management measures for target and key non-target species. Possible measures will be suggested through the Commission and/or meetings of its subsidiary bodies OR from C</w:t>
            </w:r>
            <w:r w:rsidR="00A53506" w:rsidRPr="008016C3">
              <w:rPr>
                <w:sz w:val="22"/>
                <w:szCs w:val="22"/>
                <w:lang w:val="en-US"/>
              </w:rPr>
              <w:t>C</w:t>
            </w:r>
            <w:r w:rsidR="0037444A" w:rsidRPr="008016C3">
              <w:rPr>
                <w:sz w:val="22"/>
                <w:szCs w:val="22"/>
                <w:lang w:val="en-US"/>
              </w:rPr>
              <w:t>Ms communicated through the Executive Director. The initial focus will be on measures for bigeye, yellowfin, and skipjack tuna</w:t>
            </w:r>
            <w:r w:rsidR="00CB13DD" w:rsidRPr="008016C3">
              <w:rPr>
                <w:sz w:val="22"/>
                <w:szCs w:val="22"/>
                <w:lang w:val="en-US"/>
              </w:rPr>
              <w:t>s</w:t>
            </w:r>
            <w:r w:rsidR="0037444A" w:rsidRPr="008016C3">
              <w:rPr>
                <w:sz w:val="22"/>
                <w:szCs w:val="22"/>
                <w:lang w:val="en-US"/>
              </w:rPr>
              <w:t>.</w:t>
            </w:r>
          </w:p>
        </w:tc>
        <w:tc>
          <w:tcPr>
            <w:tcW w:w="2520" w:type="dxa"/>
            <w:gridSpan w:val="2"/>
          </w:tcPr>
          <w:p w:rsidR="0037444A" w:rsidRPr="008016C3" w:rsidRDefault="0037444A" w:rsidP="00AC5214">
            <w:pPr>
              <w:spacing w:after="0"/>
              <w:rPr>
                <w:sz w:val="22"/>
                <w:szCs w:val="22"/>
                <w:lang w:val="en-US"/>
              </w:rPr>
            </w:pPr>
            <w:r w:rsidRPr="008016C3">
              <w:rPr>
                <w:sz w:val="22"/>
                <w:szCs w:val="22"/>
                <w:lang w:val="en-US"/>
              </w:rPr>
              <w:t>SC, TCC, and WCPFC papers</w:t>
            </w:r>
          </w:p>
        </w:tc>
        <w:tc>
          <w:tcPr>
            <w:tcW w:w="1350" w:type="dxa"/>
          </w:tcPr>
          <w:p w:rsidR="0037444A" w:rsidRPr="008016C3" w:rsidRDefault="0037444A" w:rsidP="00AC5214">
            <w:pPr>
              <w:spacing w:after="0"/>
              <w:rPr>
                <w:sz w:val="22"/>
                <w:szCs w:val="22"/>
                <w:lang w:val="en-US"/>
              </w:rPr>
            </w:pPr>
            <w:r w:rsidRPr="008016C3">
              <w:rPr>
                <w:sz w:val="22"/>
                <w:szCs w:val="22"/>
                <w:lang w:val="en-US"/>
              </w:rPr>
              <w:t>Mid-July, Mid-Sept, and Mid-Nov</w:t>
            </w:r>
          </w:p>
        </w:tc>
        <w:tc>
          <w:tcPr>
            <w:tcW w:w="1828" w:type="dxa"/>
            <w:gridSpan w:val="2"/>
          </w:tcPr>
          <w:p w:rsidR="0037444A" w:rsidRPr="008016C3" w:rsidRDefault="0037444A" w:rsidP="001D1FA1">
            <w:pPr>
              <w:spacing w:after="0"/>
              <w:rPr>
                <w:sz w:val="22"/>
                <w:szCs w:val="22"/>
                <w:lang w:val="en-US"/>
              </w:rPr>
            </w:pPr>
          </w:p>
        </w:tc>
      </w:tr>
      <w:tr w:rsidR="0037444A" w:rsidRPr="008016C3" w:rsidTr="0099701C">
        <w:trPr>
          <w:tblHeader/>
        </w:trPr>
        <w:tc>
          <w:tcPr>
            <w:tcW w:w="1098" w:type="dxa"/>
            <w:tcBorders>
              <w:bottom w:val="single" w:sz="4" w:space="0" w:color="auto"/>
            </w:tcBorders>
          </w:tcPr>
          <w:p w:rsidR="00867DD5" w:rsidRPr="008016C3" w:rsidRDefault="00867DD5" w:rsidP="00404977">
            <w:pPr>
              <w:spacing w:after="0"/>
              <w:jc w:val="center"/>
              <w:rPr>
                <w:sz w:val="22"/>
                <w:szCs w:val="22"/>
                <w:lang w:val="en-US"/>
              </w:rPr>
            </w:pPr>
          </w:p>
        </w:tc>
        <w:tc>
          <w:tcPr>
            <w:tcW w:w="7380" w:type="dxa"/>
            <w:tcBorders>
              <w:bottom w:val="single" w:sz="4" w:space="0" w:color="auto"/>
            </w:tcBorders>
          </w:tcPr>
          <w:p w:rsidR="00867DD5" w:rsidRPr="008016C3" w:rsidRDefault="00897715" w:rsidP="00733098">
            <w:pPr>
              <w:spacing w:after="0"/>
              <w:rPr>
                <w:sz w:val="22"/>
                <w:szCs w:val="22"/>
                <w:lang w:val="en-US"/>
              </w:rPr>
            </w:pPr>
            <w:r w:rsidRPr="008016C3">
              <w:rPr>
                <w:sz w:val="22"/>
                <w:szCs w:val="22"/>
                <w:lang w:val="en-US"/>
              </w:rPr>
              <w:t xml:space="preserve">3) </w:t>
            </w:r>
            <w:r w:rsidR="00027504" w:rsidRPr="008016C3">
              <w:rPr>
                <w:sz w:val="22"/>
                <w:szCs w:val="22"/>
                <w:lang w:val="en-US"/>
              </w:rPr>
              <w:t>Further analysis of purse seine set times in the determination of set types.</w:t>
            </w:r>
          </w:p>
        </w:tc>
        <w:tc>
          <w:tcPr>
            <w:tcW w:w="2520" w:type="dxa"/>
            <w:gridSpan w:val="2"/>
            <w:tcBorders>
              <w:bottom w:val="single" w:sz="4" w:space="0" w:color="auto"/>
            </w:tcBorders>
          </w:tcPr>
          <w:p w:rsidR="00867DD5" w:rsidRPr="008016C3" w:rsidRDefault="00027504" w:rsidP="001D1FA1">
            <w:pPr>
              <w:spacing w:after="0"/>
              <w:rPr>
                <w:sz w:val="22"/>
                <w:szCs w:val="22"/>
                <w:lang w:val="en-US"/>
              </w:rPr>
            </w:pPr>
            <w:r w:rsidRPr="008016C3">
              <w:rPr>
                <w:sz w:val="22"/>
                <w:szCs w:val="22"/>
                <w:lang w:val="en-US"/>
              </w:rPr>
              <w:t>SC and TCC paper</w:t>
            </w:r>
          </w:p>
        </w:tc>
        <w:tc>
          <w:tcPr>
            <w:tcW w:w="1350" w:type="dxa"/>
            <w:tcBorders>
              <w:bottom w:val="single" w:sz="4" w:space="0" w:color="auto"/>
            </w:tcBorders>
          </w:tcPr>
          <w:p w:rsidR="00867DD5" w:rsidRPr="008016C3" w:rsidRDefault="00027504" w:rsidP="001D1FA1">
            <w:pPr>
              <w:spacing w:after="0"/>
              <w:rPr>
                <w:sz w:val="22"/>
                <w:szCs w:val="22"/>
                <w:lang w:val="en-US"/>
              </w:rPr>
            </w:pPr>
            <w:r w:rsidRPr="008016C3">
              <w:rPr>
                <w:sz w:val="22"/>
                <w:szCs w:val="22"/>
                <w:lang w:val="en-US"/>
              </w:rPr>
              <w:t>Mid-July and Mid-Sept</w:t>
            </w:r>
          </w:p>
        </w:tc>
        <w:tc>
          <w:tcPr>
            <w:tcW w:w="1828" w:type="dxa"/>
            <w:gridSpan w:val="2"/>
            <w:tcBorders>
              <w:bottom w:val="single" w:sz="4" w:space="0" w:color="auto"/>
            </w:tcBorders>
          </w:tcPr>
          <w:p w:rsidR="00867DD5" w:rsidRPr="008016C3" w:rsidRDefault="00867DD5" w:rsidP="001D1FA1">
            <w:pPr>
              <w:spacing w:after="0"/>
              <w:rPr>
                <w:sz w:val="22"/>
                <w:szCs w:val="22"/>
                <w:lang w:val="en-US"/>
              </w:rPr>
            </w:pPr>
          </w:p>
        </w:tc>
      </w:tr>
      <w:tr w:rsidR="0075750F" w:rsidRPr="008016C3" w:rsidTr="0099701C">
        <w:trPr>
          <w:tblHeader/>
        </w:trPr>
        <w:tc>
          <w:tcPr>
            <w:tcW w:w="1098" w:type="dxa"/>
            <w:tcBorders>
              <w:bottom w:val="single" w:sz="4" w:space="0" w:color="auto"/>
            </w:tcBorders>
            <w:shd w:val="clear" w:color="auto" w:fill="000000" w:themeFill="text1"/>
          </w:tcPr>
          <w:p w:rsidR="0075750F" w:rsidRPr="008016C3" w:rsidRDefault="0075750F" w:rsidP="00404977">
            <w:pPr>
              <w:spacing w:after="0"/>
              <w:jc w:val="center"/>
              <w:rPr>
                <w:sz w:val="22"/>
                <w:szCs w:val="22"/>
                <w:lang w:val="en-US"/>
              </w:rPr>
            </w:pPr>
          </w:p>
        </w:tc>
        <w:tc>
          <w:tcPr>
            <w:tcW w:w="7380" w:type="dxa"/>
            <w:tcBorders>
              <w:bottom w:val="single" w:sz="4" w:space="0" w:color="auto"/>
            </w:tcBorders>
            <w:shd w:val="clear" w:color="auto" w:fill="000000" w:themeFill="text1"/>
          </w:tcPr>
          <w:p w:rsidR="0075750F" w:rsidRPr="008016C3" w:rsidRDefault="0075750F" w:rsidP="00BA6536">
            <w:pPr>
              <w:spacing w:after="0"/>
              <w:rPr>
                <w:sz w:val="22"/>
                <w:szCs w:val="22"/>
                <w:lang w:val="en-US"/>
              </w:rPr>
            </w:pPr>
          </w:p>
        </w:tc>
        <w:tc>
          <w:tcPr>
            <w:tcW w:w="2520" w:type="dxa"/>
            <w:gridSpan w:val="2"/>
            <w:tcBorders>
              <w:bottom w:val="single" w:sz="4" w:space="0" w:color="auto"/>
            </w:tcBorders>
            <w:shd w:val="clear" w:color="auto" w:fill="000000" w:themeFill="text1"/>
          </w:tcPr>
          <w:p w:rsidR="0075750F" w:rsidRPr="008016C3" w:rsidRDefault="0075750F" w:rsidP="001D1FA1">
            <w:pPr>
              <w:spacing w:after="0"/>
              <w:rPr>
                <w:sz w:val="22"/>
                <w:szCs w:val="22"/>
                <w:lang w:val="en-US"/>
              </w:rPr>
            </w:pPr>
          </w:p>
        </w:tc>
        <w:tc>
          <w:tcPr>
            <w:tcW w:w="1350" w:type="dxa"/>
            <w:tcBorders>
              <w:bottom w:val="single" w:sz="4" w:space="0" w:color="auto"/>
            </w:tcBorders>
            <w:shd w:val="clear" w:color="auto" w:fill="000000" w:themeFill="text1"/>
          </w:tcPr>
          <w:p w:rsidR="0075750F" w:rsidRPr="008016C3" w:rsidRDefault="0075750F" w:rsidP="001D1FA1">
            <w:pPr>
              <w:spacing w:after="0"/>
              <w:rPr>
                <w:sz w:val="22"/>
                <w:szCs w:val="22"/>
                <w:lang w:val="en-US"/>
              </w:rPr>
            </w:pPr>
          </w:p>
        </w:tc>
        <w:tc>
          <w:tcPr>
            <w:tcW w:w="1828" w:type="dxa"/>
            <w:gridSpan w:val="2"/>
            <w:tcBorders>
              <w:bottom w:val="single" w:sz="4" w:space="0" w:color="auto"/>
            </w:tcBorders>
            <w:shd w:val="clear" w:color="auto" w:fill="000000" w:themeFill="text1"/>
          </w:tcPr>
          <w:p w:rsidR="0075750F" w:rsidRPr="008016C3" w:rsidRDefault="0075750F" w:rsidP="001D1FA1">
            <w:pPr>
              <w:spacing w:after="0"/>
              <w:rPr>
                <w:sz w:val="22"/>
                <w:szCs w:val="22"/>
                <w:lang w:val="en-US"/>
              </w:rPr>
            </w:pPr>
          </w:p>
        </w:tc>
      </w:tr>
      <w:tr w:rsidR="00DF479E" w:rsidRPr="008016C3" w:rsidTr="00DF479E">
        <w:trPr>
          <w:tblHeader/>
        </w:trPr>
        <w:tc>
          <w:tcPr>
            <w:tcW w:w="14176" w:type="dxa"/>
            <w:gridSpan w:val="7"/>
            <w:shd w:val="pct10" w:color="auto" w:fill="auto"/>
          </w:tcPr>
          <w:p w:rsidR="00DF479E" w:rsidRPr="008016C3" w:rsidRDefault="00DF479E" w:rsidP="00DF479E">
            <w:pPr>
              <w:spacing w:after="0"/>
              <w:jc w:val="center"/>
              <w:rPr>
                <w:sz w:val="22"/>
                <w:szCs w:val="22"/>
                <w:lang w:val="en-US"/>
              </w:rPr>
            </w:pPr>
            <w:r w:rsidRPr="008016C3">
              <w:rPr>
                <w:b/>
                <w:i/>
                <w:sz w:val="22"/>
                <w:szCs w:val="22"/>
                <w:lang w:val="en-US"/>
              </w:rPr>
              <w:t>Other advisory and technical services</w:t>
            </w:r>
          </w:p>
        </w:tc>
      </w:tr>
      <w:tr w:rsidR="00955CC2" w:rsidRPr="008016C3" w:rsidTr="00FA422E">
        <w:trPr>
          <w:tblHeader/>
        </w:trPr>
        <w:tc>
          <w:tcPr>
            <w:tcW w:w="1098" w:type="dxa"/>
          </w:tcPr>
          <w:p w:rsidR="00955CC2" w:rsidRPr="008016C3" w:rsidRDefault="00955CC2" w:rsidP="00404977">
            <w:pPr>
              <w:spacing w:after="0"/>
              <w:jc w:val="center"/>
              <w:rPr>
                <w:b/>
                <w:sz w:val="22"/>
                <w:szCs w:val="22"/>
                <w:lang w:val="en-US"/>
              </w:rPr>
            </w:pPr>
            <w:r w:rsidRPr="008016C3">
              <w:rPr>
                <w:b/>
                <w:sz w:val="22"/>
                <w:szCs w:val="22"/>
                <w:lang w:val="en-US"/>
              </w:rPr>
              <w:t>xi.</w:t>
            </w:r>
          </w:p>
        </w:tc>
        <w:tc>
          <w:tcPr>
            <w:tcW w:w="7380" w:type="dxa"/>
          </w:tcPr>
          <w:p w:rsidR="00955CC2" w:rsidRPr="008016C3" w:rsidRDefault="00955CC2" w:rsidP="00BA6536">
            <w:pPr>
              <w:spacing w:after="0"/>
              <w:rPr>
                <w:b/>
                <w:sz w:val="22"/>
                <w:szCs w:val="22"/>
                <w:lang w:val="en-US"/>
              </w:rPr>
            </w:pPr>
            <w:r w:rsidRPr="008016C3">
              <w:rPr>
                <w:b/>
                <w:i/>
                <w:sz w:val="22"/>
                <w:szCs w:val="22"/>
                <w:lang w:val="en-US"/>
              </w:rPr>
              <w:t>Other advisory and technical services</w:t>
            </w:r>
          </w:p>
        </w:tc>
        <w:tc>
          <w:tcPr>
            <w:tcW w:w="2520" w:type="dxa"/>
            <w:gridSpan w:val="2"/>
          </w:tcPr>
          <w:p w:rsidR="00955CC2" w:rsidRPr="008016C3" w:rsidRDefault="00955CC2" w:rsidP="001D1FA1">
            <w:pPr>
              <w:spacing w:after="0"/>
              <w:rPr>
                <w:sz w:val="22"/>
                <w:szCs w:val="22"/>
                <w:lang w:val="en-US"/>
              </w:rPr>
            </w:pPr>
          </w:p>
        </w:tc>
        <w:tc>
          <w:tcPr>
            <w:tcW w:w="1350" w:type="dxa"/>
          </w:tcPr>
          <w:p w:rsidR="00955CC2" w:rsidRPr="008016C3" w:rsidRDefault="00955CC2" w:rsidP="001D1FA1">
            <w:pPr>
              <w:spacing w:after="0"/>
              <w:rPr>
                <w:sz w:val="22"/>
                <w:szCs w:val="22"/>
                <w:lang w:val="en-US"/>
              </w:rPr>
            </w:pPr>
          </w:p>
        </w:tc>
        <w:tc>
          <w:tcPr>
            <w:tcW w:w="1828" w:type="dxa"/>
            <w:gridSpan w:val="2"/>
          </w:tcPr>
          <w:p w:rsidR="00955CC2" w:rsidRPr="008016C3" w:rsidRDefault="00955CC2" w:rsidP="001D1FA1">
            <w:pPr>
              <w:spacing w:after="0"/>
              <w:rPr>
                <w:sz w:val="22"/>
                <w:szCs w:val="22"/>
                <w:lang w:val="en-US"/>
              </w:rPr>
            </w:pPr>
          </w:p>
        </w:tc>
      </w:tr>
      <w:tr w:rsidR="00DF479E" w:rsidRPr="008016C3" w:rsidTr="0099701C">
        <w:trPr>
          <w:tblHeader/>
        </w:trPr>
        <w:tc>
          <w:tcPr>
            <w:tcW w:w="1098" w:type="dxa"/>
            <w:tcBorders>
              <w:bottom w:val="single" w:sz="4" w:space="0" w:color="auto"/>
            </w:tcBorders>
          </w:tcPr>
          <w:p w:rsidR="00DF479E" w:rsidRPr="008016C3" w:rsidRDefault="00DF479E" w:rsidP="00404977">
            <w:pPr>
              <w:spacing w:after="0"/>
              <w:jc w:val="center"/>
              <w:rPr>
                <w:sz w:val="22"/>
                <w:szCs w:val="22"/>
                <w:lang w:val="en-US"/>
              </w:rPr>
            </w:pPr>
          </w:p>
        </w:tc>
        <w:tc>
          <w:tcPr>
            <w:tcW w:w="7380" w:type="dxa"/>
            <w:tcBorders>
              <w:bottom w:val="single" w:sz="4" w:space="0" w:color="auto"/>
            </w:tcBorders>
          </w:tcPr>
          <w:p w:rsidR="00897715" w:rsidRPr="00F860DF" w:rsidRDefault="00897715" w:rsidP="004A5C61">
            <w:pPr>
              <w:spacing w:after="0"/>
              <w:rPr>
                <w:sz w:val="22"/>
                <w:szCs w:val="22"/>
                <w:lang w:val="en-US"/>
              </w:rPr>
            </w:pPr>
            <w:r w:rsidRPr="00F860DF">
              <w:rPr>
                <w:sz w:val="22"/>
                <w:szCs w:val="22"/>
                <w:lang w:val="en-US"/>
              </w:rPr>
              <w:t>1) Independent Review of the Commission’s Science Structure and Functions</w:t>
            </w:r>
          </w:p>
          <w:p w:rsidR="009A3220" w:rsidRPr="008016C3" w:rsidRDefault="004A5C61" w:rsidP="00897715">
            <w:pPr>
              <w:rPr>
                <w:sz w:val="22"/>
                <w:szCs w:val="22"/>
                <w:lang w:val="en-US"/>
              </w:rPr>
            </w:pPr>
            <w:r w:rsidRPr="008016C3">
              <w:rPr>
                <w:sz w:val="22"/>
                <w:szCs w:val="22"/>
                <w:lang w:val="en-US"/>
              </w:rPr>
              <w:t xml:space="preserve"> As requested, p</w:t>
            </w:r>
            <w:r w:rsidR="009A3220" w:rsidRPr="008016C3">
              <w:rPr>
                <w:sz w:val="22"/>
                <w:szCs w:val="22"/>
                <w:lang w:val="en-US"/>
              </w:rPr>
              <w:t>articipate in assisting further discussion on Independent Review</w:t>
            </w:r>
            <w:r w:rsidR="007470C3" w:rsidRPr="008016C3">
              <w:rPr>
                <w:sz w:val="22"/>
                <w:szCs w:val="22"/>
                <w:lang w:val="en-US"/>
              </w:rPr>
              <w:t>, including</w:t>
            </w:r>
            <w:r w:rsidRPr="008016C3">
              <w:rPr>
                <w:sz w:val="22"/>
                <w:szCs w:val="22"/>
                <w:lang w:val="en-US"/>
              </w:rPr>
              <w:t xml:space="preserve"> </w:t>
            </w:r>
            <w:r w:rsidR="007470C3" w:rsidRPr="008016C3">
              <w:rPr>
                <w:sz w:val="22"/>
                <w:szCs w:val="22"/>
                <w:lang w:val="en-US"/>
              </w:rPr>
              <w:t>advice</w:t>
            </w:r>
            <w:r w:rsidR="009A3220" w:rsidRPr="008016C3">
              <w:rPr>
                <w:sz w:val="22"/>
                <w:szCs w:val="22"/>
                <w:lang w:val="en-US"/>
              </w:rPr>
              <w:t xml:space="preserve"> on </w:t>
            </w:r>
            <w:r w:rsidR="007470C3" w:rsidRPr="008016C3">
              <w:rPr>
                <w:sz w:val="22"/>
                <w:szCs w:val="22"/>
                <w:lang w:val="en-US"/>
              </w:rPr>
              <w:t xml:space="preserve">a </w:t>
            </w:r>
            <w:r w:rsidR="009A3220" w:rsidRPr="008016C3">
              <w:rPr>
                <w:sz w:val="22"/>
                <w:szCs w:val="22"/>
                <w:lang w:val="en-US"/>
              </w:rPr>
              <w:t xml:space="preserve">peer review </w:t>
            </w:r>
            <w:r w:rsidRPr="008016C3">
              <w:rPr>
                <w:sz w:val="22"/>
                <w:szCs w:val="22"/>
                <w:lang w:val="en-US"/>
              </w:rPr>
              <w:t xml:space="preserve">process </w:t>
            </w:r>
            <w:r w:rsidR="009A3220" w:rsidRPr="008016C3">
              <w:rPr>
                <w:sz w:val="22"/>
                <w:szCs w:val="22"/>
                <w:lang w:val="en-US"/>
              </w:rPr>
              <w:t>of bigeye stock assessment</w:t>
            </w:r>
            <w:r w:rsidRPr="008016C3">
              <w:rPr>
                <w:sz w:val="22"/>
                <w:szCs w:val="22"/>
                <w:lang w:val="en-US"/>
              </w:rPr>
              <w:t>, restructure of SC meetings, and any</w:t>
            </w:r>
            <w:r w:rsidR="009A3220" w:rsidRPr="008016C3">
              <w:rPr>
                <w:sz w:val="22"/>
                <w:szCs w:val="22"/>
                <w:lang w:val="en-US"/>
              </w:rPr>
              <w:t xml:space="preserve"> data related issues with ISC to address data gaps</w:t>
            </w:r>
          </w:p>
        </w:tc>
        <w:tc>
          <w:tcPr>
            <w:tcW w:w="2520" w:type="dxa"/>
            <w:gridSpan w:val="2"/>
            <w:tcBorders>
              <w:bottom w:val="single" w:sz="4" w:space="0" w:color="auto"/>
            </w:tcBorders>
          </w:tcPr>
          <w:p w:rsidR="00DF479E" w:rsidRPr="008016C3" w:rsidRDefault="00DF479E" w:rsidP="00955CC2">
            <w:pPr>
              <w:spacing w:after="0"/>
              <w:rPr>
                <w:sz w:val="22"/>
                <w:szCs w:val="22"/>
                <w:lang w:val="en-US"/>
              </w:rPr>
            </w:pPr>
          </w:p>
        </w:tc>
        <w:tc>
          <w:tcPr>
            <w:tcW w:w="1350" w:type="dxa"/>
            <w:tcBorders>
              <w:bottom w:val="single" w:sz="4" w:space="0" w:color="auto"/>
            </w:tcBorders>
          </w:tcPr>
          <w:p w:rsidR="00DF479E" w:rsidRPr="008016C3" w:rsidRDefault="00DF479E" w:rsidP="00955CC2">
            <w:pPr>
              <w:spacing w:after="0"/>
              <w:rPr>
                <w:sz w:val="22"/>
                <w:szCs w:val="22"/>
                <w:lang w:val="en-US"/>
              </w:rPr>
            </w:pPr>
          </w:p>
        </w:tc>
        <w:tc>
          <w:tcPr>
            <w:tcW w:w="1828" w:type="dxa"/>
            <w:gridSpan w:val="2"/>
            <w:tcBorders>
              <w:bottom w:val="single" w:sz="4" w:space="0" w:color="auto"/>
            </w:tcBorders>
          </w:tcPr>
          <w:p w:rsidR="00DF479E" w:rsidRPr="008016C3" w:rsidRDefault="00DF479E" w:rsidP="001D1FA1">
            <w:pPr>
              <w:spacing w:after="0"/>
              <w:rPr>
                <w:sz w:val="22"/>
                <w:szCs w:val="22"/>
                <w:lang w:val="en-US"/>
              </w:rPr>
            </w:pPr>
          </w:p>
        </w:tc>
      </w:tr>
      <w:tr w:rsidR="00DF479E" w:rsidRPr="008016C3" w:rsidTr="0099701C">
        <w:trPr>
          <w:tblHeader/>
        </w:trPr>
        <w:tc>
          <w:tcPr>
            <w:tcW w:w="1098" w:type="dxa"/>
            <w:tcBorders>
              <w:bottom w:val="single" w:sz="4" w:space="0" w:color="auto"/>
            </w:tcBorders>
            <w:shd w:val="clear" w:color="auto" w:fill="000000" w:themeFill="text1"/>
          </w:tcPr>
          <w:p w:rsidR="00DF479E" w:rsidRPr="008016C3" w:rsidRDefault="00DF479E" w:rsidP="00404977">
            <w:pPr>
              <w:spacing w:after="0"/>
              <w:jc w:val="center"/>
              <w:rPr>
                <w:sz w:val="22"/>
                <w:szCs w:val="22"/>
                <w:lang w:val="en-US"/>
              </w:rPr>
            </w:pPr>
          </w:p>
        </w:tc>
        <w:tc>
          <w:tcPr>
            <w:tcW w:w="7380" w:type="dxa"/>
            <w:tcBorders>
              <w:bottom w:val="single" w:sz="4" w:space="0" w:color="auto"/>
            </w:tcBorders>
            <w:shd w:val="clear" w:color="auto" w:fill="000000" w:themeFill="text1"/>
          </w:tcPr>
          <w:p w:rsidR="00DF479E" w:rsidRPr="008016C3" w:rsidRDefault="00DF479E" w:rsidP="00BA6536">
            <w:pPr>
              <w:spacing w:after="0"/>
              <w:rPr>
                <w:sz w:val="22"/>
                <w:szCs w:val="22"/>
                <w:lang w:val="en-US"/>
              </w:rPr>
            </w:pPr>
          </w:p>
        </w:tc>
        <w:tc>
          <w:tcPr>
            <w:tcW w:w="2520" w:type="dxa"/>
            <w:gridSpan w:val="2"/>
            <w:tcBorders>
              <w:bottom w:val="single" w:sz="4" w:space="0" w:color="auto"/>
            </w:tcBorders>
            <w:shd w:val="clear" w:color="auto" w:fill="000000" w:themeFill="text1"/>
          </w:tcPr>
          <w:p w:rsidR="00DF479E" w:rsidRPr="008016C3" w:rsidRDefault="00DF479E" w:rsidP="001D1FA1">
            <w:pPr>
              <w:spacing w:after="0"/>
              <w:rPr>
                <w:sz w:val="22"/>
                <w:szCs w:val="22"/>
                <w:lang w:val="en-US"/>
              </w:rPr>
            </w:pPr>
          </w:p>
        </w:tc>
        <w:tc>
          <w:tcPr>
            <w:tcW w:w="1350" w:type="dxa"/>
            <w:tcBorders>
              <w:bottom w:val="single" w:sz="4" w:space="0" w:color="auto"/>
            </w:tcBorders>
            <w:shd w:val="clear" w:color="auto" w:fill="000000" w:themeFill="text1"/>
          </w:tcPr>
          <w:p w:rsidR="00DF479E" w:rsidRPr="008016C3" w:rsidRDefault="00DF479E" w:rsidP="001D1FA1">
            <w:pPr>
              <w:spacing w:after="0"/>
              <w:rPr>
                <w:sz w:val="22"/>
                <w:szCs w:val="22"/>
                <w:lang w:val="en-US"/>
              </w:rPr>
            </w:pPr>
          </w:p>
        </w:tc>
        <w:tc>
          <w:tcPr>
            <w:tcW w:w="1828" w:type="dxa"/>
            <w:gridSpan w:val="2"/>
            <w:tcBorders>
              <w:bottom w:val="single" w:sz="4" w:space="0" w:color="auto"/>
            </w:tcBorders>
            <w:shd w:val="clear" w:color="auto" w:fill="000000" w:themeFill="text1"/>
          </w:tcPr>
          <w:p w:rsidR="00DF479E" w:rsidRPr="008016C3" w:rsidRDefault="00DF479E" w:rsidP="001D1FA1">
            <w:pPr>
              <w:spacing w:after="0"/>
              <w:rPr>
                <w:sz w:val="22"/>
                <w:szCs w:val="22"/>
                <w:lang w:val="en-US"/>
              </w:rPr>
            </w:pPr>
          </w:p>
        </w:tc>
      </w:tr>
      <w:tr w:rsidR="0075750F" w:rsidRPr="008016C3" w:rsidTr="0075750F">
        <w:trPr>
          <w:tblHeader/>
        </w:trPr>
        <w:tc>
          <w:tcPr>
            <w:tcW w:w="14176" w:type="dxa"/>
            <w:gridSpan w:val="7"/>
            <w:shd w:val="pct10" w:color="auto" w:fill="auto"/>
          </w:tcPr>
          <w:p w:rsidR="0075750F" w:rsidRPr="008016C3" w:rsidRDefault="0075750F" w:rsidP="0075750F">
            <w:pPr>
              <w:spacing w:after="0"/>
              <w:jc w:val="center"/>
              <w:rPr>
                <w:sz w:val="22"/>
                <w:szCs w:val="22"/>
                <w:lang w:val="en-US"/>
              </w:rPr>
            </w:pPr>
            <w:r w:rsidRPr="008016C3">
              <w:rPr>
                <w:b/>
                <w:i/>
                <w:sz w:val="22"/>
                <w:szCs w:val="22"/>
                <w:lang w:val="en-US"/>
              </w:rPr>
              <w:t>Ecological Risk Assessment (Budget USD130k)</w:t>
            </w:r>
          </w:p>
        </w:tc>
      </w:tr>
      <w:tr w:rsidR="0075750F" w:rsidRPr="008016C3" w:rsidTr="00FA422E">
        <w:trPr>
          <w:tblHeader/>
        </w:trPr>
        <w:tc>
          <w:tcPr>
            <w:tcW w:w="1098" w:type="dxa"/>
          </w:tcPr>
          <w:p w:rsidR="0075750F" w:rsidRPr="008016C3" w:rsidRDefault="00955CC2" w:rsidP="00404977">
            <w:pPr>
              <w:spacing w:after="0"/>
              <w:jc w:val="center"/>
              <w:rPr>
                <w:b/>
                <w:sz w:val="22"/>
                <w:szCs w:val="22"/>
                <w:lang w:val="en-US"/>
              </w:rPr>
            </w:pPr>
            <w:r w:rsidRPr="008016C3">
              <w:rPr>
                <w:b/>
                <w:sz w:val="22"/>
                <w:szCs w:val="22"/>
                <w:lang w:val="en-US"/>
              </w:rPr>
              <w:t>xii.</w:t>
            </w:r>
          </w:p>
          <w:p w:rsidR="00955CC2" w:rsidRPr="00DC365C" w:rsidRDefault="00955CC2" w:rsidP="00404977">
            <w:pPr>
              <w:spacing w:after="0"/>
              <w:jc w:val="center"/>
              <w:rPr>
                <w:b/>
                <w:sz w:val="22"/>
                <w:szCs w:val="22"/>
                <w:lang w:val="en-US"/>
              </w:rPr>
            </w:pPr>
            <w:r w:rsidRPr="00DC365C">
              <w:rPr>
                <w:b/>
                <w:sz w:val="22"/>
                <w:szCs w:val="22"/>
                <w:lang w:val="en-US"/>
              </w:rPr>
              <w:t>(40, 43, 52)</w:t>
            </w:r>
          </w:p>
        </w:tc>
        <w:tc>
          <w:tcPr>
            <w:tcW w:w="7380" w:type="dxa"/>
            <w:vAlign w:val="center"/>
          </w:tcPr>
          <w:p w:rsidR="0075750F" w:rsidRPr="008016C3" w:rsidRDefault="00955CC2" w:rsidP="00F860DF">
            <w:pPr>
              <w:spacing w:after="0"/>
              <w:rPr>
                <w:b/>
                <w:i/>
                <w:sz w:val="22"/>
                <w:szCs w:val="22"/>
                <w:lang w:val="en-US"/>
              </w:rPr>
            </w:pPr>
            <w:r w:rsidRPr="008016C3">
              <w:rPr>
                <w:b/>
                <w:i/>
                <w:sz w:val="22"/>
                <w:szCs w:val="22"/>
                <w:lang w:val="en-US"/>
              </w:rPr>
              <w:t>Ecological risk assessment and associated activities</w:t>
            </w:r>
          </w:p>
        </w:tc>
        <w:tc>
          <w:tcPr>
            <w:tcW w:w="2430" w:type="dxa"/>
          </w:tcPr>
          <w:p w:rsidR="0075750F" w:rsidRPr="008016C3" w:rsidRDefault="0075750F" w:rsidP="001D1FA1">
            <w:pPr>
              <w:spacing w:after="0"/>
              <w:rPr>
                <w:sz w:val="22"/>
                <w:szCs w:val="22"/>
                <w:lang w:val="en-US"/>
              </w:rPr>
            </w:pPr>
          </w:p>
        </w:tc>
        <w:tc>
          <w:tcPr>
            <w:tcW w:w="1530" w:type="dxa"/>
            <w:gridSpan w:val="3"/>
          </w:tcPr>
          <w:p w:rsidR="0075750F" w:rsidRPr="008016C3" w:rsidRDefault="0075750F" w:rsidP="001D1FA1">
            <w:pPr>
              <w:spacing w:after="0"/>
              <w:rPr>
                <w:sz w:val="22"/>
                <w:szCs w:val="22"/>
                <w:lang w:val="en-US"/>
              </w:rPr>
            </w:pPr>
          </w:p>
        </w:tc>
        <w:tc>
          <w:tcPr>
            <w:tcW w:w="1738" w:type="dxa"/>
          </w:tcPr>
          <w:p w:rsidR="0075750F" w:rsidRPr="008016C3" w:rsidRDefault="0075750F" w:rsidP="001D1FA1">
            <w:pPr>
              <w:spacing w:after="0"/>
              <w:rPr>
                <w:sz w:val="22"/>
                <w:szCs w:val="22"/>
                <w:lang w:val="en-US"/>
              </w:rPr>
            </w:pPr>
          </w:p>
        </w:tc>
      </w:tr>
      <w:tr w:rsidR="00914672" w:rsidRPr="008016C3" w:rsidTr="00FA422E">
        <w:trPr>
          <w:tblHeader/>
        </w:trPr>
        <w:tc>
          <w:tcPr>
            <w:tcW w:w="1098" w:type="dxa"/>
          </w:tcPr>
          <w:p w:rsidR="00914672" w:rsidRPr="008016C3" w:rsidRDefault="00914672" w:rsidP="00404977">
            <w:pPr>
              <w:spacing w:after="0"/>
              <w:jc w:val="center"/>
              <w:rPr>
                <w:sz w:val="22"/>
                <w:szCs w:val="22"/>
                <w:lang w:val="en-US"/>
              </w:rPr>
            </w:pPr>
          </w:p>
        </w:tc>
        <w:tc>
          <w:tcPr>
            <w:tcW w:w="7380" w:type="dxa"/>
          </w:tcPr>
          <w:p w:rsidR="00CE67E6" w:rsidRPr="008016C3" w:rsidRDefault="00897715" w:rsidP="00CE67E6">
            <w:pPr>
              <w:spacing w:after="0"/>
              <w:rPr>
                <w:sz w:val="22"/>
                <w:szCs w:val="22"/>
                <w:lang w:val="en-US"/>
              </w:rPr>
            </w:pPr>
            <w:r w:rsidRPr="008016C3">
              <w:rPr>
                <w:sz w:val="22"/>
                <w:szCs w:val="22"/>
                <w:lang w:val="en-US"/>
              </w:rPr>
              <w:t xml:space="preserve">1) </w:t>
            </w:r>
            <w:r w:rsidR="00CE67E6" w:rsidRPr="008016C3">
              <w:rPr>
                <w:sz w:val="22"/>
                <w:szCs w:val="22"/>
                <w:lang w:val="en-US"/>
              </w:rPr>
              <w:t>Seabirds:</w:t>
            </w:r>
          </w:p>
          <w:p w:rsidR="00914672" w:rsidRPr="00F860DF" w:rsidRDefault="00F860DF" w:rsidP="00F860DF">
            <w:pPr>
              <w:spacing w:after="0"/>
              <w:rPr>
                <w:sz w:val="22"/>
                <w:szCs w:val="22"/>
                <w:lang w:val="en-US"/>
              </w:rPr>
            </w:pPr>
            <w:r>
              <w:rPr>
                <w:sz w:val="22"/>
                <w:szCs w:val="22"/>
                <w:lang w:val="en-US"/>
              </w:rPr>
              <w:t xml:space="preserve">(a) </w:t>
            </w:r>
            <w:r w:rsidR="00914672" w:rsidRPr="00F860DF">
              <w:rPr>
                <w:sz w:val="22"/>
                <w:szCs w:val="22"/>
                <w:lang w:val="en-US"/>
              </w:rPr>
              <w:t xml:space="preserve">Subject to available data, </w:t>
            </w:r>
            <w:r w:rsidR="00CE67E6" w:rsidRPr="00F860DF">
              <w:rPr>
                <w:sz w:val="22"/>
                <w:szCs w:val="22"/>
                <w:lang w:val="en-US"/>
              </w:rPr>
              <w:t xml:space="preserve">continue </w:t>
            </w:r>
            <w:r w:rsidR="00914672" w:rsidRPr="00F860DF">
              <w:rPr>
                <w:sz w:val="22"/>
                <w:szCs w:val="22"/>
                <w:lang w:val="en-US"/>
              </w:rPr>
              <w:t>spatial risk assessments to determine initial spatial zones for the differential management and monitoring of seabird bycatch.</w:t>
            </w:r>
          </w:p>
        </w:tc>
        <w:tc>
          <w:tcPr>
            <w:tcW w:w="2430" w:type="dxa"/>
          </w:tcPr>
          <w:p w:rsidR="00914672" w:rsidRPr="008016C3" w:rsidRDefault="00914672" w:rsidP="00914672">
            <w:pPr>
              <w:spacing w:after="0"/>
              <w:rPr>
                <w:sz w:val="22"/>
                <w:szCs w:val="22"/>
                <w:lang w:val="en-US"/>
              </w:rPr>
            </w:pPr>
            <w:r w:rsidRPr="008016C3">
              <w:rPr>
                <w:sz w:val="22"/>
                <w:szCs w:val="22"/>
                <w:lang w:val="en-US"/>
              </w:rPr>
              <w:t>SC paper</w:t>
            </w:r>
          </w:p>
        </w:tc>
        <w:tc>
          <w:tcPr>
            <w:tcW w:w="1530" w:type="dxa"/>
            <w:gridSpan w:val="3"/>
          </w:tcPr>
          <w:p w:rsidR="00914672" w:rsidRPr="008016C3" w:rsidRDefault="00914672" w:rsidP="00914672">
            <w:pPr>
              <w:spacing w:after="0"/>
              <w:rPr>
                <w:sz w:val="22"/>
                <w:szCs w:val="22"/>
                <w:lang w:val="en-US"/>
              </w:rPr>
            </w:pPr>
            <w:r w:rsidRPr="008016C3">
              <w:rPr>
                <w:sz w:val="22"/>
                <w:szCs w:val="22"/>
                <w:lang w:val="en-US"/>
              </w:rPr>
              <w:t>Mid-July</w:t>
            </w:r>
          </w:p>
        </w:tc>
        <w:tc>
          <w:tcPr>
            <w:tcW w:w="1738" w:type="dxa"/>
          </w:tcPr>
          <w:p w:rsidR="00914672" w:rsidRPr="008016C3" w:rsidRDefault="00914672" w:rsidP="001D1FA1">
            <w:pPr>
              <w:spacing w:after="0"/>
              <w:rPr>
                <w:sz w:val="22"/>
                <w:szCs w:val="22"/>
                <w:lang w:val="en-US"/>
              </w:rPr>
            </w:pPr>
          </w:p>
        </w:tc>
      </w:tr>
      <w:tr w:rsidR="0075750F" w:rsidRPr="008016C3" w:rsidTr="00FA422E">
        <w:trPr>
          <w:tblHeader/>
        </w:trPr>
        <w:tc>
          <w:tcPr>
            <w:tcW w:w="1098" w:type="dxa"/>
          </w:tcPr>
          <w:p w:rsidR="0075750F" w:rsidRPr="008016C3" w:rsidRDefault="0075750F" w:rsidP="00404977">
            <w:pPr>
              <w:spacing w:after="0"/>
              <w:jc w:val="center"/>
              <w:rPr>
                <w:sz w:val="22"/>
                <w:szCs w:val="22"/>
                <w:lang w:val="en-US"/>
              </w:rPr>
            </w:pPr>
          </w:p>
        </w:tc>
        <w:tc>
          <w:tcPr>
            <w:tcW w:w="7380" w:type="dxa"/>
          </w:tcPr>
          <w:p w:rsidR="00CE67E6" w:rsidRPr="008016C3" w:rsidRDefault="00897715" w:rsidP="00BA6536">
            <w:pPr>
              <w:spacing w:after="0"/>
              <w:rPr>
                <w:sz w:val="22"/>
                <w:szCs w:val="22"/>
                <w:lang w:val="en-US"/>
              </w:rPr>
            </w:pPr>
            <w:r w:rsidRPr="008016C3">
              <w:rPr>
                <w:sz w:val="22"/>
                <w:szCs w:val="22"/>
                <w:lang w:val="en-US"/>
              </w:rPr>
              <w:t xml:space="preserve">2) </w:t>
            </w:r>
            <w:r w:rsidR="00CE67E6" w:rsidRPr="008016C3">
              <w:rPr>
                <w:sz w:val="22"/>
                <w:szCs w:val="22"/>
                <w:lang w:val="en-US"/>
              </w:rPr>
              <w:t>Sharks:</w:t>
            </w:r>
          </w:p>
          <w:p w:rsidR="0075750F" w:rsidRPr="008016C3" w:rsidRDefault="00897715" w:rsidP="00CE67E6">
            <w:pPr>
              <w:spacing w:after="0"/>
              <w:rPr>
                <w:sz w:val="22"/>
                <w:szCs w:val="22"/>
                <w:lang w:val="en-US"/>
              </w:rPr>
            </w:pPr>
            <w:r w:rsidRPr="008016C3">
              <w:rPr>
                <w:sz w:val="22"/>
                <w:szCs w:val="22"/>
                <w:lang w:val="en-US"/>
              </w:rPr>
              <w:t xml:space="preserve">(a) </w:t>
            </w:r>
            <w:r w:rsidR="009C1026" w:rsidRPr="008016C3">
              <w:rPr>
                <w:sz w:val="22"/>
                <w:szCs w:val="22"/>
                <w:lang w:val="en-US"/>
              </w:rPr>
              <w:t>P</w:t>
            </w:r>
            <w:r w:rsidR="00CE67E6" w:rsidRPr="008016C3">
              <w:rPr>
                <w:sz w:val="22"/>
                <w:szCs w:val="22"/>
                <w:lang w:val="en-US"/>
              </w:rPr>
              <w:t>rovide p</w:t>
            </w:r>
            <w:r w:rsidR="009C1026" w:rsidRPr="008016C3">
              <w:rPr>
                <w:sz w:val="22"/>
                <w:szCs w:val="22"/>
                <w:lang w:val="en-US"/>
              </w:rPr>
              <w:t>reliminary advice on the stock status of key shark species</w:t>
            </w:r>
            <w:r w:rsidR="007C5238" w:rsidRPr="008016C3">
              <w:rPr>
                <w:sz w:val="22"/>
                <w:szCs w:val="22"/>
                <w:lang w:val="en-US"/>
              </w:rPr>
              <w:t xml:space="preserve"> and </w:t>
            </w:r>
            <w:r w:rsidR="00CE67E6" w:rsidRPr="008016C3">
              <w:rPr>
                <w:sz w:val="22"/>
                <w:szCs w:val="22"/>
                <w:lang w:val="en-US"/>
              </w:rPr>
              <w:t xml:space="preserve">propose </w:t>
            </w:r>
            <w:r w:rsidR="007C5238" w:rsidRPr="008016C3">
              <w:rPr>
                <w:sz w:val="22"/>
                <w:szCs w:val="22"/>
                <w:lang w:val="en-US"/>
              </w:rPr>
              <w:t>a research plan</w:t>
            </w:r>
            <w:r w:rsidR="00CE67E6" w:rsidRPr="008016C3">
              <w:rPr>
                <w:sz w:val="22"/>
                <w:szCs w:val="22"/>
                <w:lang w:val="en-US"/>
              </w:rPr>
              <w:t xml:space="preserve"> (this research plan can be included in</w:t>
            </w:r>
            <w:r w:rsidR="003952CC">
              <w:rPr>
                <w:sz w:val="22"/>
                <w:szCs w:val="22"/>
                <w:lang w:val="en-US"/>
              </w:rPr>
              <w:t xml:space="preserve"> xii 3) </w:t>
            </w:r>
            <w:r w:rsidR="00CE67E6" w:rsidRPr="008016C3">
              <w:rPr>
                <w:sz w:val="22"/>
                <w:szCs w:val="22"/>
                <w:lang w:val="en-US"/>
              </w:rPr>
              <w:t xml:space="preserve">below) </w:t>
            </w:r>
            <w:r w:rsidR="007C5238" w:rsidRPr="008016C3">
              <w:rPr>
                <w:sz w:val="22"/>
                <w:szCs w:val="22"/>
                <w:lang w:val="en-US"/>
              </w:rPr>
              <w:t>for the assessment of the status of these stocks</w:t>
            </w:r>
          </w:p>
          <w:p w:rsidR="00CE67E6" w:rsidRPr="008016C3" w:rsidRDefault="00897715" w:rsidP="00CE67E6">
            <w:pPr>
              <w:spacing w:after="0"/>
              <w:rPr>
                <w:sz w:val="22"/>
                <w:szCs w:val="22"/>
                <w:lang w:val="en-US"/>
              </w:rPr>
            </w:pPr>
            <w:r w:rsidRPr="008016C3">
              <w:rPr>
                <w:sz w:val="22"/>
                <w:szCs w:val="22"/>
                <w:lang w:val="en-US"/>
              </w:rPr>
              <w:t xml:space="preserve">(b) </w:t>
            </w:r>
            <w:r w:rsidR="00CE67E6" w:rsidRPr="008016C3">
              <w:rPr>
                <w:sz w:val="22"/>
                <w:szCs w:val="22"/>
                <w:lang w:val="en-US"/>
              </w:rPr>
              <w:t>Subject to the availability of adequate data, assess the effectiveness of CMM-2009-04, including any alternative measures for the management of shark stocks in the Convention Area, as appropriate</w:t>
            </w:r>
          </w:p>
        </w:tc>
        <w:tc>
          <w:tcPr>
            <w:tcW w:w="2430" w:type="dxa"/>
          </w:tcPr>
          <w:p w:rsidR="0075750F" w:rsidRPr="008016C3" w:rsidRDefault="00A05320" w:rsidP="001D1FA1">
            <w:pPr>
              <w:spacing w:after="0"/>
              <w:rPr>
                <w:sz w:val="22"/>
                <w:szCs w:val="22"/>
                <w:lang w:val="en-US"/>
              </w:rPr>
            </w:pPr>
            <w:r w:rsidRPr="008016C3">
              <w:rPr>
                <w:sz w:val="22"/>
                <w:szCs w:val="22"/>
                <w:lang w:val="en-US"/>
              </w:rPr>
              <w:t>SC progress report and WCPFC paper</w:t>
            </w:r>
          </w:p>
        </w:tc>
        <w:tc>
          <w:tcPr>
            <w:tcW w:w="1530" w:type="dxa"/>
            <w:gridSpan w:val="3"/>
          </w:tcPr>
          <w:p w:rsidR="0075750F" w:rsidRPr="008016C3" w:rsidRDefault="007C5238" w:rsidP="001D1FA1">
            <w:pPr>
              <w:spacing w:after="0"/>
              <w:rPr>
                <w:sz w:val="22"/>
                <w:szCs w:val="22"/>
                <w:lang w:val="en-US"/>
              </w:rPr>
            </w:pPr>
            <w:r w:rsidRPr="008016C3">
              <w:rPr>
                <w:sz w:val="22"/>
                <w:szCs w:val="22"/>
                <w:lang w:val="en-US"/>
              </w:rPr>
              <w:t>Mid-July</w:t>
            </w:r>
          </w:p>
          <w:p w:rsidR="00733098" w:rsidRPr="008016C3" w:rsidRDefault="00733098" w:rsidP="004A69F1">
            <w:pPr>
              <w:spacing w:after="0"/>
              <w:rPr>
                <w:sz w:val="22"/>
                <w:szCs w:val="22"/>
                <w:lang w:val="en-US"/>
              </w:rPr>
            </w:pPr>
            <w:r w:rsidRPr="008016C3">
              <w:rPr>
                <w:sz w:val="22"/>
                <w:szCs w:val="22"/>
                <w:lang w:val="en-US"/>
              </w:rPr>
              <w:t>Mid-</w:t>
            </w:r>
            <w:r w:rsidR="004A69F1" w:rsidRPr="008016C3">
              <w:rPr>
                <w:sz w:val="22"/>
                <w:szCs w:val="22"/>
                <w:lang w:val="en-US"/>
              </w:rPr>
              <w:t>Nov</w:t>
            </w:r>
          </w:p>
        </w:tc>
        <w:tc>
          <w:tcPr>
            <w:tcW w:w="1738" w:type="dxa"/>
          </w:tcPr>
          <w:p w:rsidR="0075750F" w:rsidRPr="008016C3" w:rsidRDefault="0075750F" w:rsidP="001D1FA1">
            <w:pPr>
              <w:spacing w:after="0"/>
              <w:rPr>
                <w:sz w:val="22"/>
                <w:szCs w:val="22"/>
                <w:lang w:val="en-US"/>
              </w:rPr>
            </w:pPr>
          </w:p>
        </w:tc>
      </w:tr>
      <w:tr w:rsidR="0058518C" w:rsidRPr="008016C3" w:rsidTr="0099701C">
        <w:trPr>
          <w:tblHeader/>
        </w:trPr>
        <w:tc>
          <w:tcPr>
            <w:tcW w:w="1098" w:type="dxa"/>
            <w:tcBorders>
              <w:bottom w:val="single" w:sz="4" w:space="0" w:color="auto"/>
            </w:tcBorders>
          </w:tcPr>
          <w:p w:rsidR="0058518C" w:rsidRPr="008016C3" w:rsidRDefault="0058518C" w:rsidP="00404977">
            <w:pPr>
              <w:spacing w:after="0"/>
              <w:jc w:val="center"/>
              <w:rPr>
                <w:sz w:val="22"/>
                <w:szCs w:val="22"/>
                <w:lang w:val="en-US"/>
              </w:rPr>
            </w:pPr>
          </w:p>
        </w:tc>
        <w:tc>
          <w:tcPr>
            <w:tcW w:w="7380" w:type="dxa"/>
            <w:tcBorders>
              <w:bottom w:val="single" w:sz="4" w:space="0" w:color="auto"/>
            </w:tcBorders>
          </w:tcPr>
          <w:p w:rsidR="0058518C" w:rsidRPr="008016C3" w:rsidRDefault="00897715" w:rsidP="000B5E19">
            <w:pPr>
              <w:spacing w:after="0"/>
              <w:rPr>
                <w:sz w:val="22"/>
                <w:szCs w:val="22"/>
                <w:lang w:val="en-US"/>
              </w:rPr>
            </w:pPr>
            <w:r w:rsidRPr="008016C3">
              <w:rPr>
                <w:sz w:val="22"/>
                <w:szCs w:val="22"/>
                <w:lang w:val="en-US"/>
              </w:rPr>
              <w:t xml:space="preserve">3) </w:t>
            </w:r>
            <w:r w:rsidR="00CE67E6" w:rsidRPr="008016C3">
              <w:rPr>
                <w:sz w:val="22"/>
                <w:szCs w:val="22"/>
                <w:lang w:val="en-US"/>
              </w:rPr>
              <w:t>Provide a three year ERA Research Plan (201</w:t>
            </w:r>
            <w:r w:rsidR="000B5E19">
              <w:rPr>
                <w:sz w:val="22"/>
                <w:szCs w:val="22"/>
                <w:lang w:val="en-US"/>
              </w:rPr>
              <w:t>1</w:t>
            </w:r>
            <w:r w:rsidR="00CE67E6" w:rsidRPr="008016C3">
              <w:rPr>
                <w:sz w:val="22"/>
                <w:szCs w:val="22"/>
                <w:lang w:val="en-US"/>
              </w:rPr>
              <w:t>-201</w:t>
            </w:r>
            <w:r w:rsidR="000B5E19">
              <w:rPr>
                <w:sz w:val="22"/>
                <w:szCs w:val="22"/>
                <w:lang w:val="en-US"/>
              </w:rPr>
              <w:t>3</w:t>
            </w:r>
            <w:r w:rsidR="00CE67E6" w:rsidRPr="008016C3">
              <w:rPr>
                <w:sz w:val="22"/>
                <w:szCs w:val="22"/>
                <w:lang w:val="en-US"/>
              </w:rPr>
              <w:t>) for review at SC6</w:t>
            </w:r>
          </w:p>
        </w:tc>
        <w:tc>
          <w:tcPr>
            <w:tcW w:w="2430" w:type="dxa"/>
            <w:tcBorders>
              <w:bottom w:val="single" w:sz="4" w:space="0" w:color="auto"/>
            </w:tcBorders>
          </w:tcPr>
          <w:p w:rsidR="0058518C" w:rsidRPr="008016C3" w:rsidRDefault="00CE67E6" w:rsidP="001D1FA1">
            <w:pPr>
              <w:spacing w:after="0"/>
              <w:rPr>
                <w:sz w:val="22"/>
                <w:szCs w:val="22"/>
                <w:lang w:val="en-US"/>
              </w:rPr>
            </w:pPr>
            <w:r w:rsidRPr="008016C3">
              <w:rPr>
                <w:sz w:val="22"/>
                <w:szCs w:val="22"/>
                <w:lang w:val="en-US"/>
              </w:rPr>
              <w:t xml:space="preserve">SC </w:t>
            </w:r>
            <w:r w:rsidR="0058518C" w:rsidRPr="008016C3">
              <w:rPr>
                <w:sz w:val="22"/>
                <w:szCs w:val="22"/>
                <w:lang w:val="en-US"/>
              </w:rPr>
              <w:t>paper</w:t>
            </w:r>
          </w:p>
        </w:tc>
        <w:tc>
          <w:tcPr>
            <w:tcW w:w="1530" w:type="dxa"/>
            <w:gridSpan w:val="3"/>
            <w:tcBorders>
              <w:bottom w:val="single" w:sz="4" w:space="0" w:color="auto"/>
            </w:tcBorders>
          </w:tcPr>
          <w:p w:rsidR="0058518C" w:rsidRPr="008016C3" w:rsidRDefault="00BE2101" w:rsidP="001D1FA1">
            <w:pPr>
              <w:spacing w:after="0"/>
              <w:rPr>
                <w:sz w:val="22"/>
                <w:szCs w:val="22"/>
                <w:lang w:val="en-US"/>
              </w:rPr>
            </w:pPr>
            <w:r w:rsidRPr="008016C3">
              <w:rPr>
                <w:sz w:val="22"/>
                <w:szCs w:val="22"/>
                <w:lang w:val="en-US"/>
              </w:rPr>
              <w:t>Mid-</w:t>
            </w:r>
            <w:r w:rsidR="004A69F1" w:rsidRPr="008016C3">
              <w:rPr>
                <w:sz w:val="22"/>
                <w:szCs w:val="22"/>
                <w:lang w:val="en-US"/>
              </w:rPr>
              <w:t>Nov</w:t>
            </w:r>
          </w:p>
        </w:tc>
        <w:tc>
          <w:tcPr>
            <w:tcW w:w="1738" w:type="dxa"/>
            <w:tcBorders>
              <w:bottom w:val="single" w:sz="4" w:space="0" w:color="auto"/>
            </w:tcBorders>
          </w:tcPr>
          <w:p w:rsidR="0058518C" w:rsidRPr="008016C3" w:rsidRDefault="0058518C" w:rsidP="001D1FA1">
            <w:pPr>
              <w:spacing w:after="0"/>
              <w:rPr>
                <w:sz w:val="22"/>
                <w:szCs w:val="22"/>
                <w:lang w:val="en-US"/>
              </w:rPr>
            </w:pPr>
          </w:p>
        </w:tc>
      </w:tr>
      <w:tr w:rsidR="0099701C" w:rsidRPr="008016C3" w:rsidTr="0099701C">
        <w:trPr>
          <w:tblHeader/>
        </w:trPr>
        <w:tc>
          <w:tcPr>
            <w:tcW w:w="1098" w:type="dxa"/>
            <w:shd w:val="clear" w:color="auto" w:fill="000000" w:themeFill="text1"/>
          </w:tcPr>
          <w:p w:rsidR="0099701C" w:rsidRPr="008016C3" w:rsidRDefault="0099701C" w:rsidP="00404977">
            <w:pPr>
              <w:spacing w:after="0"/>
              <w:jc w:val="center"/>
              <w:rPr>
                <w:sz w:val="22"/>
                <w:szCs w:val="22"/>
                <w:lang w:val="en-US"/>
              </w:rPr>
            </w:pPr>
          </w:p>
        </w:tc>
        <w:tc>
          <w:tcPr>
            <w:tcW w:w="7380" w:type="dxa"/>
            <w:shd w:val="clear" w:color="auto" w:fill="000000" w:themeFill="text1"/>
          </w:tcPr>
          <w:p w:rsidR="0099701C" w:rsidRPr="008016C3" w:rsidRDefault="0099701C" w:rsidP="000B5E19">
            <w:pPr>
              <w:spacing w:after="0"/>
              <w:rPr>
                <w:sz w:val="22"/>
                <w:szCs w:val="22"/>
                <w:lang w:val="en-US"/>
              </w:rPr>
            </w:pPr>
          </w:p>
        </w:tc>
        <w:tc>
          <w:tcPr>
            <w:tcW w:w="2430" w:type="dxa"/>
            <w:shd w:val="clear" w:color="auto" w:fill="000000" w:themeFill="text1"/>
          </w:tcPr>
          <w:p w:rsidR="0099701C" w:rsidRPr="008016C3" w:rsidRDefault="0099701C" w:rsidP="001D1FA1">
            <w:pPr>
              <w:spacing w:after="0"/>
              <w:rPr>
                <w:sz w:val="22"/>
                <w:szCs w:val="22"/>
                <w:lang w:val="en-US"/>
              </w:rPr>
            </w:pPr>
          </w:p>
        </w:tc>
        <w:tc>
          <w:tcPr>
            <w:tcW w:w="1530" w:type="dxa"/>
            <w:gridSpan w:val="3"/>
            <w:shd w:val="clear" w:color="auto" w:fill="000000" w:themeFill="text1"/>
          </w:tcPr>
          <w:p w:rsidR="0099701C" w:rsidRPr="008016C3" w:rsidRDefault="0099701C" w:rsidP="001D1FA1">
            <w:pPr>
              <w:spacing w:after="0"/>
              <w:rPr>
                <w:sz w:val="22"/>
                <w:szCs w:val="22"/>
                <w:lang w:val="en-US"/>
              </w:rPr>
            </w:pPr>
          </w:p>
        </w:tc>
        <w:tc>
          <w:tcPr>
            <w:tcW w:w="1738" w:type="dxa"/>
            <w:shd w:val="clear" w:color="auto" w:fill="000000" w:themeFill="text1"/>
          </w:tcPr>
          <w:p w:rsidR="0099701C" w:rsidRPr="008016C3" w:rsidRDefault="0099701C" w:rsidP="001D1FA1">
            <w:pPr>
              <w:spacing w:after="0"/>
              <w:rPr>
                <w:sz w:val="22"/>
                <w:szCs w:val="22"/>
                <w:lang w:val="en-US"/>
              </w:rPr>
            </w:pPr>
          </w:p>
        </w:tc>
      </w:tr>
    </w:tbl>
    <w:p w:rsidR="00274B1F" w:rsidRPr="008016C3" w:rsidRDefault="00274B1F" w:rsidP="001D1FA1">
      <w:pPr>
        <w:pStyle w:val="Heading2"/>
        <w:spacing w:before="0" w:after="0"/>
        <w:rPr>
          <w:rFonts w:ascii="Times New Roman" w:hAnsi="Times New Roman" w:cs="Times New Roman"/>
          <w:sz w:val="22"/>
          <w:szCs w:val="22"/>
          <w:lang w:val="en-US"/>
        </w:rPr>
      </w:pPr>
      <w:r w:rsidRPr="008016C3">
        <w:rPr>
          <w:rFonts w:ascii="Times New Roman" w:hAnsi="Times New Roman" w:cs="Times New Roman"/>
          <w:sz w:val="22"/>
          <w:szCs w:val="22"/>
          <w:lang w:val="en-US"/>
        </w:rPr>
        <w:t>Financial Support to be provided by the Commission</w:t>
      </w:r>
    </w:p>
    <w:p w:rsidR="00274B1F" w:rsidRPr="008016C3" w:rsidRDefault="00274B1F" w:rsidP="001D1FA1">
      <w:pPr>
        <w:spacing w:after="0"/>
        <w:rPr>
          <w:sz w:val="22"/>
          <w:szCs w:val="22"/>
          <w:lang w:val="en-US"/>
        </w:rPr>
      </w:pPr>
    </w:p>
    <w:p w:rsidR="00274B1F" w:rsidRPr="008016C3" w:rsidRDefault="00274B1F" w:rsidP="001D1FA1">
      <w:pPr>
        <w:spacing w:after="0"/>
        <w:rPr>
          <w:sz w:val="22"/>
          <w:szCs w:val="22"/>
          <w:lang w:val="en-US"/>
        </w:rPr>
      </w:pPr>
      <w:r w:rsidRPr="008016C3">
        <w:rPr>
          <w:sz w:val="22"/>
          <w:szCs w:val="22"/>
          <w:lang w:val="en-US"/>
        </w:rPr>
        <w:t>The financial support to be provided by the Commission to the SPC OFP for the services outlined in section 2 above is as follows:</w:t>
      </w:r>
    </w:p>
    <w:p w:rsidR="00274B1F" w:rsidRPr="008016C3" w:rsidRDefault="00274B1F" w:rsidP="001D1FA1">
      <w:pPr>
        <w:pStyle w:val="Heading2"/>
        <w:numPr>
          <w:ilvl w:val="0"/>
          <w:numId w:val="0"/>
        </w:numPr>
        <w:spacing w:before="0" w:after="0"/>
        <w:rPr>
          <w:rFonts w:ascii="Times New Roman" w:hAnsi="Times New Roman" w:cs="Times New Roman"/>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6348"/>
        <w:gridCol w:w="1829"/>
      </w:tblGrid>
      <w:tr w:rsidR="00274B1F" w:rsidRPr="008016C3" w:rsidTr="00FA422E">
        <w:tc>
          <w:tcPr>
            <w:tcW w:w="2116" w:type="pct"/>
            <w:shd w:val="clear" w:color="auto" w:fill="CCCCCC"/>
          </w:tcPr>
          <w:p w:rsidR="00274B1F" w:rsidRPr="008016C3" w:rsidRDefault="00274B1F" w:rsidP="001D1FA1">
            <w:pPr>
              <w:spacing w:after="0"/>
              <w:jc w:val="center"/>
              <w:rPr>
                <w:b/>
                <w:sz w:val="22"/>
                <w:szCs w:val="22"/>
                <w:lang w:val="en-US"/>
              </w:rPr>
            </w:pPr>
            <w:r w:rsidRPr="008016C3">
              <w:rPr>
                <w:b/>
                <w:sz w:val="22"/>
                <w:szCs w:val="22"/>
                <w:lang w:val="en-US"/>
              </w:rPr>
              <w:t>Item</w:t>
            </w:r>
          </w:p>
        </w:tc>
        <w:tc>
          <w:tcPr>
            <w:tcW w:w="2239" w:type="pct"/>
            <w:shd w:val="clear" w:color="auto" w:fill="CCCCCC"/>
          </w:tcPr>
          <w:p w:rsidR="00274B1F" w:rsidRPr="008016C3" w:rsidRDefault="00274B1F" w:rsidP="001D1FA1">
            <w:pPr>
              <w:spacing w:after="0"/>
              <w:jc w:val="center"/>
              <w:rPr>
                <w:b/>
                <w:sz w:val="22"/>
                <w:szCs w:val="22"/>
                <w:lang w:val="en-US"/>
              </w:rPr>
            </w:pPr>
            <w:r w:rsidRPr="008016C3">
              <w:rPr>
                <w:b/>
                <w:sz w:val="22"/>
                <w:szCs w:val="22"/>
                <w:lang w:val="en-US"/>
              </w:rPr>
              <w:t>Cost basis</w:t>
            </w:r>
          </w:p>
        </w:tc>
        <w:tc>
          <w:tcPr>
            <w:tcW w:w="645" w:type="pct"/>
            <w:shd w:val="clear" w:color="auto" w:fill="CCCCCC"/>
          </w:tcPr>
          <w:p w:rsidR="00274B1F" w:rsidRPr="008016C3" w:rsidRDefault="00274B1F" w:rsidP="001D1FA1">
            <w:pPr>
              <w:spacing w:after="0"/>
              <w:jc w:val="center"/>
              <w:rPr>
                <w:b/>
                <w:sz w:val="22"/>
                <w:szCs w:val="22"/>
                <w:lang w:val="en-US"/>
              </w:rPr>
            </w:pPr>
            <w:r w:rsidRPr="008016C3">
              <w:rPr>
                <w:b/>
                <w:sz w:val="22"/>
                <w:szCs w:val="22"/>
                <w:lang w:val="en-US"/>
              </w:rPr>
              <w:t>USD</w:t>
            </w:r>
          </w:p>
        </w:tc>
      </w:tr>
      <w:tr w:rsidR="00274B1F" w:rsidRPr="008016C3" w:rsidTr="00FA422E">
        <w:tc>
          <w:tcPr>
            <w:tcW w:w="2116" w:type="pct"/>
            <w:vAlign w:val="center"/>
          </w:tcPr>
          <w:p w:rsidR="00274B1F" w:rsidRPr="008016C3" w:rsidRDefault="00274B1F" w:rsidP="001D1FA1">
            <w:pPr>
              <w:spacing w:after="0"/>
              <w:rPr>
                <w:sz w:val="22"/>
                <w:szCs w:val="22"/>
                <w:lang w:val="en-US"/>
              </w:rPr>
            </w:pPr>
            <w:r w:rsidRPr="008016C3">
              <w:rPr>
                <w:sz w:val="22"/>
                <w:szCs w:val="22"/>
                <w:lang w:val="en-US"/>
              </w:rPr>
              <w:t xml:space="preserve">Data management, stock assessment, ecological risk assessment and other advisory and technical services </w:t>
            </w:r>
          </w:p>
        </w:tc>
        <w:tc>
          <w:tcPr>
            <w:tcW w:w="2239" w:type="pct"/>
          </w:tcPr>
          <w:p w:rsidR="00274B1F" w:rsidRPr="008016C3" w:rsidRDefault="00274B1F" w:rsidP="00E96E86">
            <w:pPr>
              <w:spacing w:after="0"/>
              <w:rPr>
                <w:sz w:val="22"/>
                <w:szCs w:val="22"/>
                <w:lang w:val="en-US"/>
              </w:rPr>
            </w:pPr>
            <w:r w:rsidRPr="008016C3">
              <w:rPr>
                <w:sz w:val="22"/>
                <w:szCs w:val="22"/>
                <w:lang w:val="en-US"/>
              </w:rPr>
              <w:t xml:space="preserve">Costs based on SPC costs of </w:t>
            </w:r>
            <w:r w:rsidR="00E96E86" w:rsidRPr="008016C3">
              <w:rPr>
                <w:sz w:val="22"/>
                <w:szCs w:val="22"/>
                <w:lang w:val="en-US"/>
              </w:rPr>
              <w:t>four</w:t>
            </w:r>
            <w:r w:rsidRPr="008016C3">
              <w:rPr>
                <w:sz w:val="22"/>
                <w:szCs w:val="22"/>
                <w:lang w:val="en-US"/>
              </w:rPr>
              <w:t xml:space="preserve"> scientific positions, administration costs, travel, and computer support.</w:t>
            </w:r>
          </w:p>
        </w:tc>
        <w:tc>
          <w:tcPr>
            <w:tcW w:w="645" w:type="pct"/>
            <w:vAlign w:val="center"/>
          </w:tcPr>
          <w:p w:rsidR="00274B1F" w:rsidRPr="008016C3" w:rsidRDefault="00E96E86" w:rsidP="001D1FA1">
            <w:pPr>
              <w:spacing w:after="0"/>
              <w:jc w:val="right"/>
              <w:rPr>
                <w:sz w:val="22"/>
                <w:szCs w:val="22"/>
                <w:lang w:val="en-US"/>
              </w:rPr>
            </w:pPr>
            <w:r w:rsidRPr="008016C3">
              <w:rPr>
                <w:sz w:val="22"/>
                <w:szCs w:val="22"/>
                <w:lang w:val="en-US"/>
              </w:rPr>
              <w:t>70</w:t>
            </w:r>
            <w:r w:rsidR="00274B1F" w:rsidRPr="008016C3">
              <w:rPr>
                <w:sz w:val="22"/>
                <w:szCs w:val="22"/>
                <w:lang w:val="en-US"/>
              </w:rPr>
              <w:t>0,000</w:t>
            </w:r>
          </w:p>
        </w:tc>
      </w:tr>
      <w:tr w:rsidR="00274B1F" w:rsidRPr="008016C3" w:rsidDel="002A0590" w:rsidTr="00FA422E">
        <w:tc>
          <w:tcPr>
            <w:tcW w:w="4355" w:type="pct"/>
            <w:gridSpan w:val="2"/>
            <w:shd w:val="clear" w:color="auto" w:fill="E6E6E6"/>
          </w:tcPr>
          <w:p w:rsidR="00274B1F" w:rsidRPr="008016C3" w:rsidRDefault="00FA422E" w:rsidP="001D1FA1">
            <w:pPr>
              <w:spacing w:after="0"/>
              <w:jc w:val="center"/>
              <w:rPr>
                <w:b/>
                <w:sz w:val="22"/>
                <w:szCs w:val="22"/>
                <w:lang w:val="en-US"/>
              </w:rPr>
            </w:pPr>
            <w:r w:rsidRPr="008016C3">
              <w:rPr>
                <w:b/>
                <w:sz w:val="22"/>
                <w:szCs w:val="22"/>
                <w:lang w:val="en-US"/>
              </w:rPr>
              <w:t>Total Commission funding</w:t>
            </w:r>
          </w:p>
        </w:tc>
        <w:tc>
          <w:tcPr>
            <w:tcW w:w="645" w:type="pct"/>
            <w:shd w:val="clear" w:color="auto" w:fill="E6E6E6"/>
          </w:tcPr>
          <w:p w:rsidR="00274B1F" w:rsidRPr="008016C3" w:rsidDel="002A0590" w:rsidRDefault="00E96E86" w:rsidP="001D1FA1">
            <w:pPr>
              <w:spacing w:after="0"/>
              <w:jc w:val="right"/>
              <w:rPr>
                <w:b/>
                <w:sz w:val="22"/>
                <w:szCs w:val="22"/>
                <w:lang w:val="en-US"/>
              </w:rPr>
            </w:pPr>
            <w:r w:rsidRPr="008016C3">
              <w:rPr>
                <w:b/>
                <w:sz w:val="22"/>
                <w:szCs w:val="22"/>
                <w:lang w:val="en-US"/>
              </w:rPr>
              <w:t>70</w:t>
            </w:r>
            <w:r w:rsidR="00274B1F" w:rsidRPr="008016C3">
              <w:rPr>
                <w:b/>
                <w:sz w:val="22"/>
                <w:szCs w:val="22"/>
                <w:lang w:val="en-US"/>
              </w:rPr>
              <w:t>0,000</w:t>
            </w:r>
          </w:p>
        </w:tc>
      </w:tr>
    </w:tbl>
    <w:p w:rsidR="00274B1F" w:rsidRPr="008016C3" w:rsidRDefault="00274B1F" w:rsidP="001D1FA1">
      <w:pPr>
        <w:spacing w:after="0"/>
        <w:rPr>
          <w:sz w:val="22"/>
          <w:szCs w:val="22"/>
          <w:lang w:val="en-US"/>
        </w:rPr>
      </w:pPr>
    </w:p>
    <w:p w:rsidR="00274B1F" w:rsidRPr="008016C3" w:rsidRDefault="00274B1F" w:rsidP="001D1FA1">
      <w:pPr>
        <w:pStyle w:val="Heading2"/>
        <w:spacing w:before="0" w:after="0"/>
        <w:rPr>
          <w:rFonts w:ascii="Times New Roman" w:hAnsi="Times New Roman" w:cs="Times New Roman"/>
          <w:sz w:val="22"/>
          <w:szCs w:val="22"/>
          <w:lang w:val="en-US"/>
        </w:rPr>
      </w:pPr>
      <w:r w:rsidRPr="008016C3">
        <w:rPr>
          <w:rFonts w:ascii="Times New Roman" w:hAnsi="Times New Roman" w:cs="Times New Roman"/>
          <w:sz w:val="22"/>
          <w:szCs w:val="22"/>
          <w:lang w:val="en-US"/>
        </w:rPr>
        <w:t>Schedule for Payments</w:t>
      </w:r>
      <w:r w:rsidR="00DC365C">
        <w:rPr>
          <w:rFonts w:ascii="Times New Roman" w:hAnsi="Times New Roman" w:cs="Times New Roman"/>
          <w:sz w:val="22"/>
          <w:szCs w:val="22"/>
          <w:lang w:val="en-US"/>
        </w:rPr>
        <w:t xml:space="preserve"> and Bank D</w:t>
      </w:r>
      <w:r w:rsidR="003952CC">
        <w:rPr>
          <w:rFonts w:ascii="Times New Roman" w:hAnsi="Times New Roman" w:cs="Times New Roman"/>
          <w:sz w:val="22"/>
          <w:szCs w:val="22"/>
          <w:lang w:val="en-US"/>
        </w:rPr>
        <w:t>etails for P</w:t>
      </w:r>
      <w:r w:rsidR="00DC365C">
        <w:rPr>
          <w:rFonts w:ascii="Times New Roman" w:hAnsi="Times New Roman" w:cs="Times New Roman"/>
          <w:sz w:val="22"/>
          <w:szCs w:val="22"/>
          <w:lang w:val="en-US"/>
        </w:rPr>
        <w:t>ayment</w:t>
      </w:r>
    </w:p>
    <w:p w:rsidR="00274B1F" w:rsidRPr="008016C3" w:rsidRDefault="00274B1F" w:rsidP="001D1FA1">
      <w:pPr>
        <w:spacing w:after="0"/>
        <w:rPr>
          <w:sz w:val="22"/>
          <w:szCs w:val="22"/>
          <w:lang w:val="en-US"/>
        </w:rPr>
      </w:pPr>
    </w:p>
    <w:p w:rsidR="00274B1F" w:rsidRDefault="00274B1F" w:rsidP="001D1FA1">
      <w:pPr>
        <w:spacing w:after="0"/>
        <w:rPr>
          <w:sz w:val="22"/>
          <w:szCs w:val="22"/>
          <w:lang w:val="en-US"/>
        </w:rPr>
      </w:pPr>
      <w:r w:rsidRPr="008016C3">
        <w:rPr>
          <w:sz w:val="22"/>
          <w:szCs w:val="22"/>
          <w:lang w:val="en-US"/>
        </w:rPr>
        <w:t>The schedule of payments shall be as follows:</w:t>
      </w:r>
    </w:p>
    <w:p w:rsidR="003952CC" w:rsidRDefault="003952CC" w:rsidP="001D1FA1">
      <w:pPr>
        <w:spacing w:after="0"/>
        <w:rPr>
          <w:sz w:val="22"/>
          <w:szCs w:val="22"/>
          <w:lang w:val="en-US"/>
        </w:rPr>
      </w:pPr>
    </w:p>
    <w:tbl>
      <w:tblPr>
        <w:tblStyle w:val="TableGrid"/>
        <w:tblW w:w="0" w:type="auto"/>
        <w:tblInd w:w="108" w:type="dxa"/>
        <w:tblLook w:val="04A0"/>
      </w:tblPr>
      <w:tblGrid>
        <w:gridCol w:w="3060"/>
        <w:gridCol w:w="1620"/>
        <w:gridCol w:w="630"/>
        <w:gridCol w:w="1890"/>
        <w:gridCol w:w="5220"/>
      </w:tblGrid>
      <w:tr w:rsidR="003952CC" w:rsidTr="003952C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Default="000B5E19" w:rsidP="000B5E19">
            <w:pPr>
              <w:spacing w:after="0"/>
              <w:rPr>
                <w:sz w:val="22"/>
                <w:szCs w:val="22"/>
                <w:lang w:val="en-US"/>
              </w:rPr>
            </w:pPr>
            <w:r>
              <w:rPr>
                <w:sz w:val="22"/>
                <w:szCs w:val="22"/>
                <w:lang w:val="en-US"/>
              </w:rPr>
              <w:t>8</w:t>
            </w:r>
            <w:r w:rsidR="003952CC" w:rsidRPr="00FA422E">
              <w:rPr>
                <w:sz w:val="22"/>
                <w:szCs w:val="22"/>
                <w:lang w:val="en-US"/>
              </w:rPr>
              <w:t xml:space="preserve"> </w:t>
            </w:r>
            <w:r>
              <w:rPr>
                <w:sz w:val="22"/>
                <w:szCs w:val="22"/>
                <w:lang w:val="en-US"/>
              </w:rPr>
              <w:t>March</w:t>
            </w:r>
            <w:r w:rsidR="003952CC" w:rsidRPr="00FA422E">
              <w:rPr>
                <w:sz w:val="22"/>
                <w:szCs w:val="22"/>
                <w:lang w:val="en-US"/>
              </w:rPr>
              <w:t xml:space="preserve"> 2010 (or before)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Default="003952CC" w:rsidP="001D1FA1">
            <w:pPr>
              <w:spacing w:after="0"/>
              <w:rPr>
                <w:sz w:val="22"/>
                <w:szCs w:val="22"/>
                <w:lang w:val="en-US"/>
              </w:rPr>
            </w:pPr>
            <w:r w:rsidRPr="00FA422E">
              <w:rPr>
                <w:sz w:val="22"/>
                <w:szCs w:val="22"/>
                <w:lang w:val="en-US"/>
              </w:rPr>
              <w:t>USD 200,000</w:t>
            </w:r>
          </w:p>
        </w:tc>
        <w:tc>
          <w:tcPr>
            <w:tcW w:w="630" w:type="dxa"/>
            <w:tcBorders>
              <w:top w:val="nil"/>
              <w:left w:val="single" w:sz="4" w:space="0" w:color="808080" w:themeColor="background1" w:themeShade="80"/>
              <w:bottom w:val="nil"/>
              <w:right w:val="single" w:sz="4" w:space="0" w:color="808080" w:themeColor="background1" w:themeShade="80"/>
            </w:tcBorders>
          </w:tcPr>
          <w:p w:rsidR="003952CC" w:rsidRPr="00FA422E" w:rsidRDefault="003952CC" w:rsidP="001D1FA1">
            <w:pPr>
              <w:spacing w:after="0"/>
              <w:rPr>
                <w:sz w:val="22"/>
                <w:szCs w:val="22"/>
                <w:lang w:val="en-US"/>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Pr="003952CC" w:rsidRDefault="003952CC" w:rsidP="001D1FA1">
            <w:pPr>
              <w:spacing w:after="0"/>
              <w:rPr>
                <w:b/>
                <w:sz w:val="22"/>
                <w:szCs w:val="22"/>
                <w:lang w:val="en-US"/>
              </w:rPr>
            </w:pPr>
            <w:r w:rsidRPr="003952CC">
              <w:rPr>
                <w:b/>
                <w:sz w:val="22"/>
                <w:szCs w:val="22"/>
                <w:lang w:val="en-US"/>
              </w:rPr>
              <w:t>Name of Bank</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Pr="00FA422E" w:rsidRDefault="003952CC" w:rsidP="001D1FA1">
            <w:pPr>
              <w:spacing w:after="0"/>
              <w:rPr>
                <w:sz w:val="22"/>
                <w:szCs w:val="22"/>
                <w:lang w:val="en-US"/>
              </w:rPr>
            </w:pPr>
            <w:r w:rsidRPr="008016C3">
              <w:rPr>
                <w:sz w:val="22"/>
                <w:szCs w:val="22"/>
                <w:lang w:val="en-US"/>
              </w:rPr>
              <w:t>Banque de Nouvelle-Caledonie</w:t>
            </w:r>
          </w:p>
        </w:tc>
      </w:tr>
      <w:tr w:rsidR="003952CC" w:rsidTr="003952C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Default="003952CC" w:rsidP="001D1FA1">
            <w:pPr>
              <w:spacing w:after="0"/>
              <w:rPr>
                <w:sz w:val="22"/>
                <w:szCs w:val="22"/>
                <w:lang w:val="en-US"/>
              </w:rPr>
            </w:pPr>
            <w:r w:rsidRPr="00FA422E">
              <w:rPr>
                <w:sz w:val="22"/>
                <w:szCs w:val="22"/>
                <w:lang w:val="en-US"/>
              </w:rPr>
              <w:t>31 March 2010 (or before)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Default="003952CC" w:rsidP="001D1FA1">
            <w:pPr>
              <w:spacing w:after="0"/>
              <w:rPr>
                <w:sz w:val="22"/>
                <w:szCs w:val="22"/>
                <w:lang w:val="en-US"/>
              </w:rPr>
            </w:pPr>
            <w:r w:rsidRPr="00FA422E">
              <w:rPr>
                <w:sz w:val="22"/>
                <w:szCs w:val="22"/>
                <w:lang w:val="en-US"/>
              </w:rPr>
              <w:t xml:space="preserve">USD </w:t>
            </w:r>
            <w:bookmarkStart w:id="0" w:name="OLE_LINK3"/>
            <w:bookmarkStart w:id="1" w:name="OLE_LINK4"/>
            <w:r w:rsidRPr="00FA422E">
              <w:rPr>
                <w:sz w:val="22"/>
                <w:szCs w:val="22"/>
                <w:lang w:val="en-US"/>
              </w:rPr>
              <w:t>200,000</w:t>
            </w:r>
            <w:bookmarkEnd w:id="0"/>
            <w:bookmarkEnd w:id="1"/>
          </w:p>
        </w:tc>
        <w:tc>
          <w:tcPr>
            <w:tcW w:w="630" w:type="dxa"/>
            <w:tcBorders>
              <w:top w:val="nil"/>
              <w:left w:val="single" w:sz="4" w:space="0" w:color="808080" w:themeColor="background1" w:themeShade="80"/>
              <w:bottom w:val="nil"/>
              <w:right w:val="single" w:sz="4" w:space="0" w:color="808080" w:themeColor="background1" w:themeShade="80"/>
            </w:tcBorders>
          </w:tcPr>
          <w:p w:rsidR="003952CC" w:rsidRPr="00FA422E" w:rsidRDefault="003952CC" w:rsidP="001D1FA1">
            <w:pPr>
              <w:spacing w:after="0"/>
              <w:rPr>
                <w:sz w:val="22"/>
                <w:szCs w:val="22"/>
                <w:lang w:val="en-US"/>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Pr="003952CC" w:rsidRDefault="003952CC" w:rsidP="001D1FA1">
            <w:pPr>
              <w:spacing w:after="0"/>
              <w:rPr>
                <w:b/>
                <w:sz w:val="22"/>
                <w:szCs w:val="22"/>
                <w:lang w:val="en-US"/>
              </w:rPr>
            </w:pPr>
            <w:r w:rsidRPr="003952CC">
              <w:rPr>
                <w:b/>
                <w:sz w:val="22"/>
                <w:szCs w:val="22"/>
                <w:lang w:val="en-US"/>
              </w:rPr>
              <w:t>Address</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Pr="00FA422E" w:rsidRDefault="003952CC" w:rsidP="001D1FA1">
            <w:pPr>
              <w:spacing w:after="0"/>
              <w:rPr>
                <w:sz w:val="22"/>
                <w:szCs w:val="22"/>
                <w:lang w:val="en-US"/>
              </w:rPr>
            </w:pPr>
            <w:r w:rsidRPr="008016C3">
              <w:rPr>
                <w:sz w:val="22"/>
                <w:szCs w:val="22"/>
                <w:lang w:val="en-US"/>
              </w:rPr>
              <w:t>25 av He</w:t>
            </w:r>
            <w:r w:rsidRPr="008016C3">
              <w:rPr>
                <w:sz w:val="22"/>
                <w:szCs w:val="22"/>
                <w:lang w:val="fr-FR"/>
              </w:rPr>
              <w:t>nri Lafleur Victoire, Noumea, New Caledonia</w:t>
            </w:r>
          </w:p>
        </w:tc>
      </w:tr>
      <w:tr w:rsidR="003952CC" w:rsidTr="003952C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Default="003952CC" w:rsidP="001D1FA1">
            <w:pPr>
              <w:spacing w:after="0"/>
              <w:rPr>
                <w:sz w:val="22"/>
                <w:szCs w:val="22"/>
                <w:lang w:val="en-US"/>
              </w:rPr>
            </w:pPr>
            <w:r w:rsidRPr="00FA422E">
              <w:rPr>
                <w:sz w:val="22"/>
                <w:szCs w:val="22"/>
                <w:lang w:val="en-US"/>
              </w:rPr>
              <w:t>30 June 2010 (or before)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Default="003952CC" w:rsidP="001D1FA1">
            <w:pPr>
              <w:spacing w:after="0"/>
              <w:rPr>
                <w:sz w:val="22"/>
                <w:szCs w:val="22"/>
                <w:lang w:val="en-US"/>
              </w:rPr>
            </w:pPr>
            <w:r w:rsidRPr="00FA422E">
              <w:rPr>
                <w:sz w:val="22"/>
                <w:szCs w:val="22"/>
                <w:lang w:val="en-US"/>
              </w:rPr>
              <w:t>USD 150,000</w:t>
            </w:r>
          </w:p>
        </w:tc>
        <w:tc>
          <w:tcPr>
            <w:tcW w:w="630" w:type="dxa"/>
            <w:tcBorders>
              <w:top w:val="nil"/>
              <w:left w:val="single" w:sz="4" w:space="0" w:color="808080" w:themeColor="background1" w:themeShade="80"/>
              <w:bottom w:val="nil"/>
              <w:right w:val="single" w:sz="4" w:space="0" w:color="808080" w:themeColor="background1" w:themeShade="80"/>
            </w:tcBorders>
          </w:tcPr>
          <w:p w:rsidR="003952CC" w:rsidRPr="00FA422E" w:rsidRDefault="003952CC" w:rsidP="001D1FA1">
            <w:pPr>
              <w:spacing w:after="0"/>
              <w:rPr>
                <w:sz w:val="22"/>
                <w:szCs w:val="22"/>
                <w:lang w:val="en-US"/>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Pr="003952CC" w:rsidRDefault="003952CC" w:rsidP="001D1FA1">
            <w:pPr>
              <w:spacing w:after="0"/>
              <w:rPr>
                <w:b/>
                <w:sz w:val="22"/>
                <w:szCs w:val="22"/>
                <w:lang w:val="en-US"/>
              </w:rPr>
            </w:pPr>
            <w:r w:rsidRPr="003952CC">
              <w:rPr>
                <w:b/>
                <w:sz w:val="22"/>
                <w:szCs w:val="22"/>
                <w:lang w:val="en-US"/>
              </w:rPr>
              <w:t>Account</w:t>
            </w:r>
            <w:r w:rsidRPr="003952CC">
              <w:rPr>
                <w:b/>
                <w:sz w:val="22"/>
                <w:szCs w:val="22"/>
                <w:lang w:val="fr-FR"/>
              </w:rPr>
              <w:t xml:space="preserve"> </w:t>
            </w:r>
            <w:r w:rsidRPr="003952CC">
              <w:rPr>
                <w:b/>
                <w:sz w:val="22"/>
                <w:szCs w:val="22"/>
                <w:lang w:val="en-US"/>
              </w:rPr>
              <w:t>name</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Pr="00FA422E" w:rsidRDefault="003952CC" w:rsidP="001D1FA1">
            <w:pPr>
              <w:spacing w:after="0"/>
              <w:rPr>
                <w:sz w:val="22"/>
                <w:szCs w:val="22"/>
                <w:lang w:val="en-US"/>
              </w:rPr>
            </w:pPr>
            <w:r w:rsidRPr="008016C3">
              <w:rPr>
                <w:sz w:val="22"/>
                <w:szCs w:val="22"/>
                <w:lang w:val="fr-FR"/>
              </w:rPr>
              <w:t>Secretariat General de la Communaute du Pacifique</w:t>
            </w:r>
          </w:p>
        </w:tc>
      </w:tr>
      <w:tr w:rsidR="003952CC" w:rsidTr="003952C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Default="003952CC" w:rsidP="001D1FA1">
            <w:pPr>
              <w:spacing w:after="0"/>
              <w:rPr>
                <w:sz w:val="22"/>
                <w:szCs w:val="22"/>
                <w:lang w:val="en-US"/>
              </w:rPr>
            </w:pPr>
            <w:r w:rsidRPr="00FA422E">
              <w:rPr>
                <w:sz w:val="22"/>
                <w:szCs w:val="22"/>
                <w:lang w:val="en-US"/>
              </w:rPr>
              <w:t>30 September 2010 (or before)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Default="003952CC" w:rsidP="001D1FA1">
            <w:pPr>
              <w:spacing w:after="0"/>
              <w:rPr>
                <w:sz w:val="22"/>
                <w:szCs w:val="22"/>
                <w:lang w:val="en-US"/>
              </w:rPr>
            </w:pPr>
            <w:r w:rsidRPr="00FA422E">
              <w:rPr>
                <w:sz w:val="22"/>
                <w:szCs w:val="22"/>
                <w:lang w:val="en-US"/>
              </w:rPr>
              <w:t>USD 150,000</w:t>
            </w:r>
          </w:p>
        </w:tc>
        <w:tc>
          <w:tcPr>
            <w:tcW w:w="630" w:type="dxa"/>
            <w:tcBorders>
              <w:top w:val="nil"/>
              <w:left w:val="single" w:sz="4" w:space="0" w:color="808080" w:themeColor="background1" w:themeShade="80"/>
              <w:bottom w:val="nil"/>
              <w:right w:val="single" w:sz="4" w:space="0" w:color="808080" w:themeColor="background1" w:themeShade="80"/>
            </w:tcBorders>
          </w:tcPr>
          <w:p w:rsidR="003952CC" w:rsidRPr="00FA422E" w:rsidRDefault="003952CC" w:rsidP="001D1FA1">
            <w:pPr>
              <w:spacing w:after="0"/>
              <w:rPr>
                <w:sz w:val="22"/>
                <w:szCs w:val="22"/>
                <w:lang w:val="en-US"/>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Pr="003952CC" w:rsidRDefault="003952CC" w:rsidP="001D1FA1">
            <w:pPr>
              <w:spacing w:after="0"/>
              <w:rPr>
                <w:b/>
                <w:sz w:val="22"/>
                <w:szCs w:val="22"/>
                <w:lang w:val="en-US"/>
              </w:rPr>
            </w:pPr>
            <w:r w:rsidRPr="003952CC">
              <w:rPr>
                <w:b/>
                <w:sz w:val="22"/>
                <w:szCs w:val="22"/>
                <w:lang w:val="en-US"/>
              </w:rPr>
              <w:t>Account</w:t>
            </w:r>
            <w:r w:rsidRPr="003952CC">
              <w:rPr>
                <w:b/>
                <w:sz w:val="22"/>
                <w:szCs w:val="22"/>
                <w:lang w:val="fr-FR"/>
              </w:rPr>
              <w:t xml:space="preserve"> </w:t>
            </w:r>
            <w:r w:rsidRPr="003952CC">
              <w:rPr>
                <w:b/>
                <w:sz w:val="22"/>
                <w:szCs w:val="22"/>
                <w:lang w:val="en-US"/>
              </w:rPr>
              <w:t>Number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52CC" w:rsidRPr="00FA422E" w:rsidRDefault="003952CC" w:rsidP="001D1FA1">
            <w:pPr>
              <w:spacing w:after="0"/>
              <w:rPr>
                <w:sz w:val="22"/>
                <w:szCs w:val="22"/>
                <w:lang w:val="en-US"/>
              </w:rPr>
            </w:pPr>
            <w:r w:rsidRPr="008016C3">
              <w:rPr>
                <w:sz w:val="22"/>
                <w:szCs w:val="22"/>
                <w:lang w:val="fr-FR"/>
              </w:rPr>
              <w:t>14889 00081  01461716025  31</w:t>
            </w:r>
          </w:p>
        </w:tc>
      </w:tr>
    </w:tbl>
    <w:p w:rsidR="00274B1F" w:rsidRPr="008016C3" w:rsidRDefault="00274B1F" w:rsidP="001D1FA1">
      <w:pPr>
        <w:tabs>
          <w:tab w:val="left" w:pos="4500"/>
          <w:tab w:val="right" w:pos="5940"/>
        </w:tabs>
        <w:spacing w:after="0"/>
        <w:rPr>
          <w:sz w:val="22"/>
          <w:szCs w:val="22"/>
          <w:lang w:val="en-US"/>
        </w:rPr>
      </w:pPr>
    </w:p>
    <w:p w:rsidR="00274B1F" w:rsidRPr="008016C3" w:rsidRDefault="00274B1F" w:rsidP="001D1FA1">
      <w:pPr>
        <w:spacing w:after="0"/>
        <w:rPr>
          <w:sz w:val="22"/>
          <w:szCs w:val="22"/>
          <w:lang w:val="en-US"/>
        </w:rPr>
      </w:pPr>
    </w:p>
    <w:tbl>
      <w:tblPr>
        <w:tblW w:w="5000" w:type="pct"/>
        <w:tblLook w:val="01E0"/>
      </w:tblPr>
      <w:tblGrid>
        <w:gridCol w:w="3204"/>
        <w:gridCol w:w="10972"/>
      </w:tblGrid>
      <w:tr w:rsidR="00274B1F" w:rsidRPr="008016C3" w:rsidTr="001D1FA1">
        <w:tc>
          <w:tcPr>
            <w:tcW w:w="1130" w:type="pct"/>
          </w:tcPr>
          <w:p w:rsidR="00274B1F" w:rsidRPr="008016C3" w:rsidRDefault="00274B1F" w:rsidP="001D1FA1">
            <w:pPr>
              <w:spacing w:after="0"/>
              <w:rPr>
                <w:sz w:val="22"/>
                <w:szCs w:val="22"/>
                <w:lang w:val="en-US"/>
              </w:rPr>
            </w:pPr>
          </w:p>
        </w:tc>
        <w:tc>
          <w:tcPr>
            <w:tcW w:w="3870" w:type="pct"/>
          </w:tcPr>
          <w:p w:rsidR="00274B1F" w:rsidRPr="008016C3" w:rsidRDefault="00274B1F" w:rsidP="001D1FA1">
            <w:pPr>
              <w:spacing w:after="0"/>
              <w:rPr>
                <w:sz w:val="22"/>
                <w:szCs w:val="22"/>
                <w:lang w:val="en-US"/>
              </w:rPr>
            </w:pPr>
          </w:p>
        </w:tc>
      </w:tr>
      <w:tr w:rsidR="00274B1F" w:rsidRPr="008016C3" w:rsidTr="001D1FA1">
        <w:tc>
          <w:tcPr>
            <w:tcW w:w="1130" w:type="pct"/>
          </w:tcPr>
          <w:p w:rsidR="00274B1F" w:rsidRPr="008016C3" w:rsidRDefault="00274B1F" w:rsidP="001D1FA1">
            <w:pPr>
              <w:spacing w:after="0"/>
              <w:rPr>
                <w:sz w:val="22"/>
                <w:szCs w:val="22"/>
                <w:lang w:val="en-US"/>
              </w:rPr>
            </w:pPr>
          </w:p>
        </w:tc>
        <w:tc>
          <w:tcPr>
            <w:tcW w:w="3870" w:type="pct"/>
          </w:tcPr>
          <w:p w:rsidR="00274B1F" w:rsidRPr="008016C3" w:rsidRDefault="00274B1F" w:rsidP="001D1FA1">
            <w:pPr>
              <w:spacing w:after="0"/>
              <w:rPr>
                <w:sz w:val="22"/>
                <w:szCs w:val="22"/>
                <w:lang w:val="en-US"/>
              </w:rPr>
            </w:pPr>
          </w:p>
        </w:tc>
      </w:tr>
      <w:tr w:rsidR="00274B1F" w:rsidRPr="008016C3" w:rsidTr="001D1FA1">
        <w:tc>
          <w:tcPr>
            <w:tcW w:w="1130" w:type="pct"/>
          </w:tcPr>
          <w:p w:rsidR="00274B1F" w:rsidRPr="008016C3" w:rsidRDefault="00274B1F" w:rsidP="001D1FA1">
            <w:pPr>
              <w:spacing w:after="0"/>
              <w:rPr>
                <w:sz w:val="22"/>
                <w:szCs w:val="22"/>
                <w:lang w:val="en-US"/>
              </w:rPr>
            </w:pPr>
          </w:p>
        </w:tc>
        <w:tc>
          <w:tcPr>
            <w:tcW w:w="3870" w:type="pct"/>
          </w:tcPr>
          <w:p w:rsidR="00274B1F" w:rsidRPr="008016C3" w:rsidRDefault="00274B1F" w:rsidP="001D1FA1">
            <w:pPr>
              <w:spacing w:after="0"/>
              <w:rPr>
                <w:sz w:val="22"/>
                <w:szCs w:val="22"/>
                <w:lang w:val="en-US"/>
              </w:rPr>
            </w:pPr>
          </w:p>
        </w:tc>
      </w:tr>
      <w:tr w:rsidR="00274B1F" w:rsidRPr="008016C3" w:rsidTr="001D1FA1">
        <w:tc>
          <w:tcPr>
            <w:tcW w:w="1130" w:type="pct"/>
          </w:tcPr>
          <w:p w:rsidR="00274B1F" w:rsidRPr="008016C3" w:rsidRDefault="00274B1F" w:rsidP="001D1FA1">
            <w:pPr>
              <w:spacing w:after="0"/>
              <w:rPr>
                <w:sz w:val="22"/>
                <w:szCs w:val="22"/>
                <w:lang w:val="en-US"/>
              </w:rPr>
            </w:pPr>
          </w:p>
        </w:tc>
        <w:tc>
          <w:tcPr>
            <w:tcW w:w="3870" w:type="pct"/>
          </w:tcPr>
          <w:p w:rsidR="00274B1F" w:rsidRPr="008016C3" w:rsidRDefault="00274B1F" w:rsidP="001D1FA1">
            <w:pPr>
              <w:spacing w:after="0"/>
              <w:rPr>
                <w:sz w:val="22"/>
                <w:szCs w:val="22"/>
                <w:lang w:val="en-US"/>
              </w:rPr>
            </w:pPr>
          </w:p>
        </w:tc>
      </w:tr>
    </w:tbl>
    <w:p w:rsidR="00274B1F" w:rsidRPr="008016C3" w:rsidRDefault="00274B1F" w:rsidP="001D1FA1">
      <w:pPr>
        <w:spacing w:after="0"/>
        <w:rPr>
          <w:sz w:val="22"/>
          <w:szCs w:val="22"/>
          <w:lang w:val="en-US"/>
        </w:rPr>
      </w:pPr>
    </w:p>
    <w:tbl>
      <w:tblPr>
        <w:tblW w:w="5000" w:type="pct"/>
        <w:tblLook w:val="01E0"/>
      </w:tblPr>
      <w:tblGrid>
        <w:gridCol w:w="3544"/>
        <w:gridCol w:w="3544"/>
        <w:gridCol w:w="3544"/>
        <w:gridCol w:w="3544"/>
      </w:tblGrid>
      <w:tr w:rsidR="00074718" w:rsidRPr="008016C3" w:rsidTr="00074718">
        <w:tc>
          <w:tcPr>
            <w:tcW w:w="1250" w:type="pct"/>
            <w:tcBorders>
              <w:bottom w:val="single" w:sz="4" w:space="0" w:color="808080"/>
            </w:tcBorders>
            <w:shd w:val="clear" w:color="auto" w:fill="auto"/>
          </w:tcPr>
          <w:p w:rsidR="00074718" w:rsidRPr="008016C3" w:rsidRDefault="00074718" w:rsidP="001D1FA1">
            <w:pPr>
              <w:tabs>
                <w:tab w:val="left" w:pos="5040"/>
              </w:tabs>
              <w:spacing w:after="0"/>
              <w:rPr>
                <w:sz w:val="22"/>
                <w:szCs w:val="22"/>
                <w:lang w:val="fr-FR"/>
              </w:rPr>
            </w:pPr>
          </w:p>
          <w:p w:rsidR="00074718" w:rsidRPr="008016C3" w:rsidRDefault="00074718" w:rsidP="001D1FA1">
            <w:pPr>
              <w:tabs>
                <w:tab w:val="left" w:pos="5040"/>
              </w:tabs>
              <w:spacing w:after="0"/>
              <w:rPr>
                <w:sz w:val="22"/>
                <w:szCs w:val="22"/>
                <w:lang w:val="fr-FR"/>
              </w:rPr>
            </w:pPr>
          </w:p>
          <w:p w:rsidR="00074718" w:rsidRDefault="00074718" w:rsidP="001D1FA1">
            <w:pPr>
              <w:tabs>
                <w:tab w:val="left" w:pos="5040"/>
              </w:tabs>
              <w:spacing w:after="0"/>
              <w:rPr>
                <w:sz w:val="22"/>
                <w:szCs w:val="22"/>
                <w:lang w:val="fr-FR"/>
              </w:rPr>
            </w:pPr>
          </w:p>
          <w:p w:rsidR="00074718" w:rsidRPr="008016C3" w:rsidRDefault="00074718" w:rsidP="001D1FA1">
            <w:pPr>
              <w:tabs>
                <w:tab w:val="left" w:pos="5040"/>
              </w:tabs>
              <w:spacing w:after="0"/>
              <w:rPr>
                <w:sz w:val="22"/>
                <w:szCs w:val="22"/>
                <w:lang w:val="fr-FR"/>
              </w:rPr>
            </w:pPr>
          </w:p>
          <w:p w:rsidR="00074718" w:rsidRPr="008016C3" w:rsidRDefault="00074718" w:rsidP="001D1FA1">
            <w:pPr>
              <w:tabs>
                <w:tab w:val="left" w:pos="5040"/>
              </w:tabs>
              <w:spacing w:after="0"/>
              <w:rPr>
                <w:sz w:val="22"/>
                <w:szCs w:val="22"/>
                <w:lang w:val="fr-FR"/>
              </w:rPr>
            </w:pPr>
          </w:p>
        </w:tc>
        <w:tc>
          <w:tcPr>
            <w:tcW w:w="1250" w:type="pct"/>
            <w:shd w:val="clear" w:color="auto" w:fill="auto"/>
          </w:tcPr>
          <w:p w:rsidR="00074718" w:rsidRPr="008016C3" w:rsidRDefault="00074718" w:rsidP="001D1FA1">
            <w:pPr>
              <w:tabs>
                <w:tab w:val="left" w:pos="5040"/>
              </w:tabs>
              <w:spacing w:after="0"/>
              <w:rPr>
                <w:sz w:val="22"/>
                <w:szCs w:val="22"/>
                <w:lang w:val="fr-FR"/>
              </w:rPr>
            </w:pPr>
          </w:p>
          <w:p w:rsidR="00074718" w:rsidRPr="008016C3" w:rsidRDefault="00074718" w:rsidP="00074718">
            <w:pPr>
              <w:spacing w:after="0"/>
              <w:rPr>
                <w:sz w:val="22"/>
                <w:szCs w:val="22"/>
                <w:lang w:val="fr-FR"/>
              </w:rPr>
            </w:pPr>
          </w:p>
        </w:tc>
        <w:tc>
          <w:tcPr>
            <w:tcW w:w="1250" w:type="pct"/>
            <w:tcBorders>
              <w:bottom w:val="single" w:sz="4" w:space="0" w:color="808080"/>
            </w:tcBorders>
            <w:shd w:val="clear" w:color="auto" w:fill="auto"/>
          </w:tcPr>
          <w:p w:rsidR="00074718" w:rsidRPr="008016C3" w:rsidRDefault="00074718" w:rsidP="001D1FA1">
            <w:pPr>
              <w:tabs>
                <w:tab w:val="left" w:pos="5040"/>
              </w:tabs>
              <w:spacing w:after="0"/>
              <w:rPr>
                <w:sz w:val="22"/>
                <w:szCs w:val="22"/>
                <w:lang w:val="fr-FR" w:eastAsia="ko-KR"/>
              </w:rPr>
            </w:pPr>
          </w:p>
        </w:tc>
        <w:tc>
          <w:tcPr>
            <w:tcW w:w="1250" w:type="pct"/>
            <w:shd w:val="clear" w:color="auto" w:fill="auto"/>
          </w:tcPr>
          <w:p w:rsidR="00074718" w:rsidRPr="008016C3" w:rsidRDefault="00074718" w:rsidP="001D1FA1">
            <w:pPr>
              <w:rPr>
                <w:sz w:val="22"/>
                <w:szCs w:val="22"/>
                <w:lang w:val="fr-FR"/>
              </w:rPr>
            </w:pPr>
          </w:p>
        </w:tc>
      </w:tr>
      <w:tr w:rsidR="00074718" w:rsidRPr="008016C3" w:rsidTr="00074718">
        <w:tc>
          <w:tcPr>
            <w:tcW w:w="1250" w:type="pct"/>
            <w:tcBorders>
              <w:top w:val="single" w:sz="4" w:space="0" w:color="808080"/>
            </w:tcBorders>
            <w:shd w:val="clear" w:color="auto" w:fill="auto"/>
          </w:tcPr>
          <w:p w:rsidR="00074718" w:rsidRPr="008016C3" w:rsidRDefault="00074718" w:rsidP="00074718">
            <w:pPr>
              <w:tabs>
                <w:tab w:val="left" w:pos="5040"/>
              </w:tabs>
              <w:spacing w:after="0"/>
              <w:rPr>
                <w:sz w:val="22"/>
                <w:szCs w:val="22"/>
                <w:lang w:val="fr-FR"/>
              </w:rPr>
            </w:pPr>
            <w:r w:rsidRPr="008016C3">
              <w:rPr>
                <w:sz w:val="22"/>
                <w:szCs w:val="22"/>
                <w:lang w:val="fr-FR"/>
              </w:rPr>
              <w:lastRenderedPageBreak/>
              <w:t>Mr. Andrew Wright</w:t>
            </w:r>
          </w:p>
          <w:p w:rsidR="00074718" w:rsidRPr="008016C3" w:rsidRDefault="00074718" w:rsidP="00074718">
            <w:pPr>
              <w:tabs>
                <w:tab w:val="left" w:pos="5040"/>
              </w:tabs>
              <w:spacing w:after="0"/>
              <w:rPr>
                <w:sz w:val="22"/>
                <w:szCs w:val="22"/>
                <w:lang w:val="fr-FR"/>
              </w:rPr>
            </w:pPr>
            <w:r w:rsidRPr="008016C3">
              <w:rPr>
                <w:sz w:val="22"/>
                <w:szCs w:val="22"/>
                <w:lang w:val="en-US"/>
              </w:rPr>
              <w:t>Executive</w:t>
            </w:r>
            <w:r w:rsidRPr="008016C3">
              <w:rPr>
                <w:sz w:val="22"/>
                <w:szCs w:val="22"/>
                <w:lang w:val="fr-FR"/>
              </w:rPr>
              <w:t xml:space="preserve"> </w:t>
            </w:r>
            <w:r w:rsidRPr="008016C3">
              <w:rPr>
                <w:sz w:val="22"/>
                <w:szCs w:val="22"/>
                <w:lang w:val="en-US"/>
              </w:rPr>
              <w:t>Director</w:t>
            </w:r>
            <w:r w:rsidRPr="008016C3">
              <w:rPr>
                <w:sz w:val="22"/>
                <w:szCs w:val="22"/>
                <w:lang w:val="fr-FR"/>
              </w:rPr>
              <w:t>, WCPFC</w:t>
            </w:r>
          </w:p>
          <w:p w:rsidR="00074718" w:rsidRPr="008016C3" w:rsidRDefault="00074718" w:rsidP="00074718">
            <w:pPr>
              <w:tabs>
                <w:tab w:val="left" w:pos="5040"/>
              </w:tabs>
              <w:spacing w:after="0"/>
              <w:rPr>
                <w:sz w:val="22"/>
                <w:szCs w:val="22"/>
                <w:lang w:val="fr-FR"/>
              </w:rPr>
            </w:pPr>
          </w:p>
          <w:p w:rsidR="00074718" w:rsidRPr="008016C3" w:rsidRDefault="000B5E19" w:rsidP="00074718">
            <w:pPr>
              <w:spacing w:after="0"/>
              <w:rPr>
                <w:sz w:val="22"/>
                <w:szCs w:val="22"/>
                <w:lang w:val="fr-FR" w:eastAsia="ko-KR"/>
              </w:rPr>
            </w:pPr>
            <w:r>
              <w:rPr>
                <w:sz w:val="22"/>
                <w:szCs w:val="22"/>
                <w:lang w:val="fr-FR"/>
              </w:rPr>
              <w:t xml:space="preserve">1 March </w:t>
            </w:r>
            <w:r w:rsidR="00074718" w:rsidRPr="008016C3">
              <w:rPr>
                <w:sz w:val="22"/>
                <w:szCs w:val="22"/>
                <w:lang w:val="fr-FR"/>
              </w:rPr>
              <w:t>20</w:t>
            </w:r>
            <w:r w:rsidR="00E96E86" w:rsidRPr="008016C3">
              <w:rPr>
                <w:sz w:val="22"/>
                <w:szCs w:val="22"/>
                <w:lang w:val="fr-FR"/>
              </w:rPr>
              <w:t>10</w:t>
            </w:r>
          </w:p>
          <w:p w:rsidR="00074718" w:rsidRPr="008016C3" w:rsidRDefault="00074718" w:rsidP="001D1FA1">
            <w:pPr>
              <w:tabs>
                <w:tab w:val="left" w:pos="5040"/>
              </w:tabs>
              <w:spacing w:after="0"/>
              <w:rPr>
                <w:sz w:val="22"/>
                <w:szCs w:val="22"/>
                <w:lang w:val="fr-FR"/>
              </w:rPr>
            </w:pPr>
          </w:p>
        </w:tc>
        <w:tc>
          <w:tcPr>
            <w:tcW w:w="1250" w:type="pct"/>
            <w:shd w:val="clear" w:color="auto" w:fill="auto"/>
          </w:tcPr>
          <w:p w:rsidR="00074718" w:rsidRPr="008016C3" w:rsidRDefault="00074718" w:rsidP="001D1FA1">
            <w:pPr>
              <w:tabs>
                <w:tab w:val="left" w:pos="5040"/>
              </w:tabs>
              <w:spacing w:after="0"/>
              <w:rPr>
                <w:sz w:val="22"/>
                <w:szCs w:val="22"/>
                <w:lang w:val="fr-FR"/>
              </w:rPr>
            </w:pPr>
          </w:p>
        </w:tc>
        <w:tc>
          <w:tcPr>
            <w:tcW w:w="1250" w:type="pct"/>
            <w:tcBorders>
              <w:top w:val="single" w:sz="4" w:space="0" w:color="808080"/>
            </w:tcBorders>
            <w:shd w:val="clear" w:color="auto" w:fill="auto"/>
          </w:tcPr>
          <w:p w:rsidR="00074718" w:rsidRPr="008016C3" w:rsidRDefault="00074718" w:rsidP="00074718">
            <w:pPr>
              <w:tabs>
                <w:tab w:val="left" w:pos="5040"/>
              </w:tabs>
              <w:spacing w:after="0"/>
              <w:rPr>
                <w:sz w:val="22"/>
                <w:szCs w:val="22"/>
                <w:lang w:val="en-US"/>
              </w:rPr>
            </w:pPr>
            <w:r w:rsidRPr="008016C3">
              <w:rPr>
                <w:sz w:val="22"/>
                <w:szCs w:val="22"/>
                <w:lang w:val="fr-FR"/>
              </w:rPr>
              <w:t xml:space="preserve">Dr. </w:t>
            </w:r>
            <w:r w:rsidRPr="008016C3">
              <w:rPr>
                <w:sz w:val="22"/>
                <w:szCs w:val="22"/>
                <w:lang w:val="en-US"/>
              </w:rPr>
              <w:t>Jimmie</w:t>
            </w:r>
            <w:r w:rsidRPr="008016C3">
              <w:rPr>
                <w:sz w:val="22"/>
                <w:szCs w:val="22"/>
                <w:lang w:val="fr-FR"/>
              </w:rPr>
              <w:t xml:space="preserve"> Rodgers</w:t>
            </w:r>
            <w:r w:rsidRPr="008016C3">
              <w:rPr>
                <w:sz w:val="22"/>
                <w:szCs w:val="22"/>
                <w:lang w:val="en-US"/>
              </w:rPr>
              <w:t xml:space="preserve"> </w:t>
            </w:r>
          </w:p>
          <w:p w:rsidR="00074718" w:rsidRPr="008016C3" w:rsidRDefault="00074718" w:rsidP="00074718">
            <w:pPr>
              <w:tabs>
                <w:tab w:val="left" w:pos="5040"/>
              </w:tabs>
              <w:spacing w:after="0"/>
              <w:rPr>
                <w:sz w:val="22"/>
                <w:szCs w:val="22"/>
                <w:lang w:val="fr-FR" w:eastAsia="ko-KR"/>
              </w:rPr>
            </w:pPr>
            <w:r w:rsidRPr="008016C3">
              <w:rPr>
                <w:sz w:val="22"/>
                <w:szCs w:val="22"/>
                <w:lang w:val="en-US"/>
              </w:rPr>
              <w:t>Director</w:t>
            </w:r>
            <w:r w:rsidRPr="008016C3">
              <w:rPr>
                <w:sz w:val="22"/>
                <w:szCs w:val="22"/>
                <w:lang w:val="fr-FR"/>
              </w:rPr>
              <w:t xml:space="preserve"> </w:t>
            </w:r>
            <w:r w:rsidRPr="008016C3">
              <w:rPr>
                <w:sz w:val="22"/>
                <w:szCs w:val="22"/>
                <w:lang w:val="en-US"/>
              </w:rPr>
              <w:t>General</w:t>
            </w:r>
            <w:r w:rsidRPr="008016C3">
              <w:rPr>
                <w:sz w:val="22"/>
                <w:szCs w:val="22"/>
                <w:lang w:val="fr-FR"/>
              </w:rPr>
              <w:t>, SPC</w:t>
            </w:r>
          </w:p>
          <w:p w:rsidR="00074718" w:rsidRPr="008016C3" w:rsidRDefault="00074718" w:rsidP="00074718">
            <w:pPr>
              <w:tabs>
                <w:tab w:val="left" w:pos="5040"/>
              </w:tabs>
              <w:spacing w:after="0"/>
              <w:rPr>
                <w:sz w:val="22"/>
                <w:szCs w:val="22"/>
                <w:lang w:val="fr-FR" w:eastAsia="ko-KR"/>
              </w:rPr>
            </w:pPr>
          </w:p>
          <w:p w:rsidR="00074718" w:rsidRPr="008016C3" w:rsidRDefault="000B5E19" w:rsidP="00E96E86">
            <w:pPr>
              <w:spacing w:after="0"/>
              <w:rPr>
                <w:sz w:val="22"/>
                <w:szCs w:val="22"/>
                <w:lang w:val="fr-FR" w:eastAsia="ko-KR"/>
              </w:rPr>
            </w:pPr>
            <w:r>
              <w:rPr>
                <w:sz w:val="22"/>
                <w:szCs w:val="22"/>
                <w:lang w:val="fr-FR"/>
              </w:rPr>
              <w:t xml:space="preserve">1 March </w:t>
            </w:r>
            <w:r w:rsidR="00074718" w:rsidRPr="008016C3">
              <w:rPr>
                <w:sz w:val="22"/>
                <w:szCs w:val="22"/>
                <w:lang w:val="fr-FR"/>
              </w:rPr>
              <w:t>20</w:t>
            </w:r>
            <w:r w:rsidR="00E96E86" w:rsidRPr="008016C3">
              <w:rPr>
                <w:sz w:val="22"/>
                <w:szCs w:val="22"/>
                <w:lang w:val="fr-FR"/>
              </w:rPr>
              <w:t>10</w:t>
            </w:r>
          </w:p>
        </w:tc>
        <w:tc>
          <w:tcPr>
            <w:tcW w:w="1250" w:type="pct"/>
            <w:shd w:val="clear" w:color="auto" w:fill="auto"/>
          </w:tcPr>
          <w:p w:rsidR="00074718" w:rsidRPr="008016C3" w:rsidRDefault="00074718" w:rsidP="001D1FA1">
            <w:pPr>
              <w:spacing w:after="0"/>
              <w:rPr>
                <w:sz w:val="22"/>
                <w:szCs w:val="22"/>
                <w:lang w:val="fr-FR" w:eastAsia="ko-KR"/>
              </w:rPr>
            </w:pPr>
          </w:p>
        </w:tc>
      </w:tr>
    </w:tbl>
    <w:p w:rsidR="00274B1F" w:rsidRPr="008016C3" w:rsidRDefault="00274B1F" w:rsidP="001D1FA1">
      <w:pPr>
        <w:tabs>
          <w:tab w:val="left" w:pos="5040"/>
        </w:tabs>
        <w:spacing w:after="0"/>
        <w:rPr>
          <w:sz w:val="22"/>
          <w:szCs w:val="22"/>
          <w:lang w:val="fr-FR" w:eastAsia="ko-KR"/>
        </w:rPr>
      </w:pPr>
    </w:p>
    <w:sectPr w:rsidR="00274B1F" w:rsidRPr="008016C3" w:rsidSect="001D1FA1">
      <w:footerReference w:type="even" r:id="rId8"/>
      <w:footerReference w:type="default" r:id="rId9"/>
      <w:pgSz w:w="16840" w:h="11907" w:orient="landscape" w:code="9"/>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B3" w:rsidRDefault="00343FB3">
      <w:r>
        <w:separator/>
      </w:r>
    </w:p>
  </w:endnote>
  <w:endnote w:type="continuationSeparator" w:id="0">
    <w:p w:rsidR="00343FB3" w:rsidRDefault="00343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29" w:rsidRDefault="00AE2A6C" w:rsidP="00670D32">
    <w:pPr>
      <w:pStyle w:val="Footer"/>
      <w:framePr w:wrap="around" w:vAnchor="text" w:hAnchor="margin" w:xAlign="center" w:y="1"/>
      <w:rPr>
        <w:rStyle w:val="PageNumber"/>
      </w:rPr>
    </w:pPr>
    <w:r>
      <w:rPr>
        <w:rStyle w:val="PageNumber"/>
      </w:rPr>
      <w:fldChar w:fldCharType="begin"/>
    </w:r>
    <w:r w:rsidR="006D3E29">
      <w:rPr>
        <w:rStyle w:val="PageNumber"/>
      </w:rPr>
      <w:instrText xml:space="preserve">PAGE  </w:instrText>
    </w:r>
    <w:r>
      <w:rPr>
        <w:rStyle w:val="PageNumber"/>
      </w:rPr>
      <w:fldChar w:fldCharType="end"/>
    </w:r>
  </w:p>
  <w:p w:rsidR="006D3E29" w:rsidRDefault="006D3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29" w:rsidRDefault="00AE2A6C" w:rsidP="00670D32">
    <w:pPr>
      <w:pStyle w:val="Footer"/>
      <w:framePr w:wrap="around" w:vAnchor="text" w:hAnchor="margin" w:xAlign="center" w:y="1"/>
      <w:rPr>
        <w:rStyle w:val="PageNumber"/>
      </w:rPr>
    </w:pPr>
    <w:r>
      <w:rPr>
        <w:rStyle w:val="PageNumber"/>
      </w:rPr>
      <w:fldChar w:fldCharType="begin"/>
    </w:r>
    <w:r w:rsidR="006D3E29">
      <w:rPr>
        <w:rStyle w:val="PageNumber"/>
      </w:rPr>
      <w:instrText xml:space="preserve">PAGE  </w:instrText>
    </w:r>
    <w:r>
      <w:rPr>
        <w:rStyle w:val="PageNumber"/>
      </w:rPr>
      <w:fldChar w:fldCharType="separate"/>
    </w:r>
    <w:r w:rsidR="0099701C">
      <w:rPr>
        <w:rStyle w:val="PageNumber"/>
        <w:noProof/>
      </w:rPr>
      <w:t>4</w:t>
    </w:r>
    <w:r>
      <w:rPr>
        <w:rStyle w:val="PageNumber"/>
      </w:rPr>
      <w:fldChar w:fldCharType="end"/>
    </w:r>
  </w:p>
  <w:p w:rsidR="006D3E29" w:rsidRDefault="006D3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B3" w:rsidRDefault="00343FB3">
      <w:r>
        <w:separator/>
      </w:r>
    </w:p>
  </w:footnote>
  <w:footnote w:type="continuationSeparator" w:id="0">
    <w:p w:rsidR="00343FB3" w:rsidRDefault="00343FB3">
      <w:r>
        <w:continuationSeparator/>
      </w:r>
    </w:p>
  </w:footnote>
  <w:footnote w:id="1">
    <w:p w:rsidR="006D3E29" w:rsidRDefault="006D3E29">
      <w:pPr>
        <w:pStyle w:val="FootnoteText"/>
      </w:pPr>
      <w:r>
        <w:rPr>
          <w:rStyle w:val="FootnoteReference"/>
        </w:rPr>
        <w:footnoteRef/>
      </w:r>
      <w:r>
        <w:t xml:space="preserve"> Values in parentheses refer to the project numbers from the Work Programme for the Scientific Committee</w:t>
      </w:r>
    </w:p>
  </w:footnote>
  <w:footnote w:id="2">
    <w:p w:rsidR="006D3E29" w:rsidRDefault="006D3E29">
      <w:pPr>
        <w:pStyle w:val="FootnoteText"/>
      </w:pPr>
      <w:r>
        <w:rPr>
          <w:rStyle w:val="FootnoteReference"/>
        </w:rPr>
        <w:footnoteRef/>
      </w:r>
      <w:r>
        <w:t xml:space="preserve"> To be completed by SPC and WCPFC in November each year and provided as a paper to the Regular Session of the WCPF Commission and its appropriate subsidiary bodies (e.g. FAC)</w:t>
      </w:r>
    </w:p>
  </w:footnote>
  <w:footnote w:id="3">
    <w:p w:rsidR="00895C57" w:rsidRDefault="00895C57">
      <w:pPr>
        <w:pStyle w:val="FootnoteText"/>
      </w:pPr>
      <w:r>
        <w:rPr>
          <w:rStyle w:val="FootnoteReference"/>
        </w:rPr>
        <w:footnoteRef/>
      </w:r>
      <w:r>
        <w:t xml:space="preserve"> For evaluation of CMM2008-01, those items marked with an * will be the basis of papers, whereas those items without will be in the forms of tables and other data extractsprovided to the Secretariat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398"/>
    <w:multiLevelType w:val="hybridMultilevel"/>
    <w:tmpl w:val="B400F4B2"/>
    <w:lvl w:ilvl="0" w:tplc="CB5E8936">
      <w:start w:val="2"/>
      <w:numFmt w:val="lowerLetter"/>
      <w:lvlText w:val="(%1)"/>
      <w:lvlJc w:val="left"/>
      <w:pPr>
        <w:tabs>
          <w:tab w:val="num" w:pos="360"/>
        </w:tabs>
        <w:ind w:left="360" w:hanging="360"/>
      </w:pPr>
      <w:rPr>
        <w:rFonts w:eastAsia="Batang" w:cs="Times New Roman" w:hint="eastAsia"/>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72E50"/>
    <w:multiLevelType w:val="hybridMultilevel"/>
    <w:tmpl w:val="221612AC"/>
    <w:lvl w:ilvl="0" w:tplc="B7A6D9B2">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nsid w:val="0A731151"/>
    <w:multiLevelType w:val="hybridMultilevel"/>
    <w:tmpl w:val="2D128784"/>
    <w:lvl w:ilvl="0" w:tplc="6D222148">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E1D17"/>
    <w:multiLevelType w:val="multilevel"/>
    <w:tmpl w:val="91F875A0"/>
    <w:lvl w:ilvl="0">
      <w:start w:val="12"/>
      <w:numFmt w:val="lowerRoman"/>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62028C"/>
    <w:multiLevelType w:val="hybridMultilevel"/>
    <w:tmpl w:val="C5B413B4"/>
    <w:lvl w:ilvl="0" w:tplc="153C0B80">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CF364E"/>
    <w:multiLevelType w:val="hybridMultilevel"/>
    <w:tmpl w:val="040A5676"/>
    <w:lvl w:ilvl="0" w:tplc="163A2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6A15"/>
    <w:multiLevelType w:val="hybridMultilevel"/>
    <w:tmpl w:val="8BA81A7E"/>
    <w:lvl w:ilvl="0" w:tplc="6D222148">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D5CF9"/>
    <w:multiLevelType w:val="hybridMultilevel"/>
    <w:tmpl w:val="DF8C8084"/>
    <w:lvl w:ilvl="0" w:tplc="2DD6CAF4">
      <w:start w:val="3"/>
      <w:numFmt w:val="lowerRoman"/>
      <w:lvlText w:val="%1."/>
      <w:lvlJc w:val="left"/>
      <w:pPr>
        <w:tabs>
          <w:tab w:val="num" w:pos="360"/>
        </w:tabs>
        <w:ind w:left="360" w:hanging="360"/>
      </w:pPr>
      <w:rPr>
        <w:rFonts w:cs="Times New Roman" w:hint="default"/>
      </w:rPr>
    </w:lvl>
    <w:lvl w:ilvl="1" w:tplc="CE52A872">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3D00C9"/>
    <w:multiLevelType w:val="hybridMultilevel"/>
    <w:tmpl w:val="542A680C"/>
    <w:lvl w:ilvl="0" w:tplc="3AE609A2">
      <w:start w:val="1"/>
      <w:numFmt w:val="lowerLetter"/>
      <w:lvlText w:val="(%1)"/>
      <w:lvlJc w:val="left"/>
      <w:pPr>
        <w:tabs>
          <w:tab w:val="num" w:pos="360"/>
        </w:tabs>
        <w:ind w:left="360" w:hanging="360"/>
      </w:pPr>
      <w:rPr>
        <w:rFonts w:eastAsia="Batang" w:cs="Times New Roman" w:hint="eastAsia"/>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9D7AAE"/>
    <w:multiLevelType w:val="hybridMultilevel"/>
    <w:tmpl w:val="0D8E851E"/>
    <w:lvl w:ilvl="0" w:tplc="BD40ED1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FE7744"/>
    <w:multiLevelType w:val="hybridMultilevel"/>
    <w:tmpl w:val="97EA8F48"/>
    <w:lvl w:ilvl="0" w:tplc="163A2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91D34"/>
    <w:multiLevelType w:val="hybridMultilevel"/>
    <w:tmpl w:val="2B3E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A2CCF"/>
    <w:multiLevelType w:val="hybridMultilevel"/>
    <w:tmpl w:val="FDC663C0"/>
    <w:lvl w:ilvl="0" w:tplc="BD40ED10">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8D122C"/>
    <w:multiLevelType w:val="hybridMultilevel"/>
    <w:tmpl w:val="BDC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20A6A"/>
    <w:multiLevelType w:val="hybridMultilevel"/>
    <w:tmpl w:val="6C14C33A"/>
    <w:lvl w:ilvl="0" w:tplc="00C87604">
      <w:start w:val="6"/>
      <w:numFmt w:val="lowerRoman"/>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AC07BB"/>
    <w:multiLevelType w:val="hybridMultilevel"/>
    <w:tmpl w:val="8CFE8294"/>
    <w:lvl w:ilvl="0" w:tplc="163A2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B2765"/>
    <w:multiLevelType w:val="hybridMultilevel"/>
    <w:tmpl w:val="21A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57B88"/>
    <w:multiLevelType w:val="hybridMultilevel"/>
    <w:tmpl w:val="AC3C1C24"/>
    <w:lvl w:ilvl="0" w:tplc="F42CF328">
      <w:start w:val="1"/>
      <w:numFmt w:val="bullet"/>
      <w:lvlText w:val=""/>
      <w:lvlJc w:val="left"/>
      <w:pPr>
        <w:tabs>
          <w:tab w:val="num" w:pos="420"/>
        </w:tabs>
        <w:ind w:left="420" w:hanging="360"/>
      </w:pPr>
      <w:rPr>
        <w:rFonts w:ascii="Symbol" w:hAnsi="Symbol" w:hint="default"/>
        <w:sz w:val="18"/>
      </w:rPr>
    </w:lvl>
    <w:lvl w:ilvl="1" w:tplc="627C97EC">
      <w:start w:val="1"/>
      <w:numFmt w:val="bullet"/>
      <w:lvlText w:val=""/>
      <w:lvlJc w:val="left"/>
      <w:pPr>
        <w:tabs>
          <w:tab w:val="num" w:pos="720"/>
        </w:tabs>
        <w:ind w:left="72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FA19EF"/>
    <w:multiLevelType w:val="hybridMultilevel"/>
    <w:tmpl w:val="4124780E"/>
    <w:lvl w:ilvl="0" w:tplc="F50EB182">
      <w:start w:val="1"/>
      <w:numFmt w:val="decimal"/>
      <w:pStyle w:val="Heading2"/>
      <w:lvlText w:val="%1."/>
      <w:lvlJc w:val="left"/>
      <w:pPr>
        <w:tabs>
          <w:tab w:val="num" w:pos="567"/>
        </w:tabs>
        <w:ind w:left="567" w:hanging="567"/>
      </w:pPr>
      <w:rPr>
        <w:rFonts w:cs="Times New Roman" w:hint="default"/>
      </w:rPr>
    </w:lvl>
    <w:lvl w:ilvl="1" w:tplc="C1F2EB7A">
      <w:start w:val="1"/>
      <w:numFmt w:val="lowerRoman"/>
      <w:lvlText w:val="%2."/>
      <w:lvlJc w:val="left"/>
      <w:pPr>
        <w:tabs>
          <w:tab w:val="num" w:pos="360"/>
        </w:tabs>
        <w:ind w:left="360" w:hanging="360"/>
      </w:pPr>
      <w:rPr>
        <w:rFonts w:cs="Times New Roman" w:hint="default"/>
      </w:rPr>
    </w:lvl>
    <w:lvl w:ilvl="2" w:tplc="701C7FBE">
      <w:start w:val="1"/>
      <w:numFmt w:val="bullet"/>
      <w:lvlText w:val=""/>
      <w:lvlJc w:val="left"/>
      <w:pPr>
        <w:tabs>
          <w:tab w:val="num" w:pos="2264"/>
        </w:tabs>
        <w:ind w:left="2264" w:hanging="284"/>
      </w:pPr>
      <w:rPr>
        <w:rFonts w:ascii="Symbol" w:hAnsi="Symbol"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43199B"/>
    <w:multiLevelType w:val="hybridMultilevel"/>
    <w:tmpl w:val="EFF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E13A2"/>
    <w:multiLevelType w:val="hybridMultilevel"/>
    <w:tmpl w:val="F02A00DC"/>
    <w:lvl w:ilvl="0" w:tplc="DBF6E644">
      <w:start w:val="7"/>
      <w:numFmt w:val="lowerRoman"/>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722657"/>
    <w:multiLevelType w:val="hybridMultilevel"/>
    <w:tmpl w:val="1F3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D7B92"/>
    <w:multiLevelType w:val="hybridMultilevel"/>
    <w:tmpl w:val="9E441E98"/>
    <w:lvl w:ilvl="0" w:tplc="8F58C5E8">
      <w:start w:val="17"/>
      <w:numFmt w:val="lowerRoman"/>
      <w:lvlText w:val="%1."/>
      <w:lvlJc w:val="left"/>
      <w:pPr>
        <w:tabs>
          <w:tab w:val="num" w:pos="504"/>
        </w:tabs>
        <w:ind w:left="504" w:hanging="504"/>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3BD6BBC"/>
    <w:multiLevelType w:val="hybridMultilevel"/>
    <w:tmpl w:val="797AD40E"/>
    <w:lvl w:ilvl="0" w:tplc="3A8C7A08">
      <w:start w:val="12"/>
      <w:numFmt w:val="lowerRoman"/>
      <w:lvlText w:val="%1."/>
      <w:lvlJc w:val="left"/>
      <w:pPr>
        <w:tabs>
          <w:tab w:val="num" w:pos="504"/>
        </w:tabs>
        <w:ind w:left="504" w:hanging="504"/>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08428DC"/>
    <w:multiLevelType w:val="hybridMultilevel"/>
    <w:tmpl w:val="252A3CD6"/>
    <w:lvl w:ilvl="0" w:tplc="5B76383E">
      <w:start w:val="1"/>
      <w:numFmt w:val="lowerLetter"/>
      <w:lvlText w:val="(%1)"/>
      <w:lvlJc w:val="left"/>
      <w:pPr>
        <w:tabs>
          <w:tab w:val="num" w:pos="360"/>
        </w:tabs>
        <w:ind w:left="360" w:hanging="360"/>
      </w:pPr>
      <w:rPr>
        <w:rFonts w:eastAsia="Batang" w:cs="Times New Roman" w:hint="eastAsia"/>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B3181D"/>
    <w:multiLevelType w:val="multilevel"/>
    <w:tmpl w:val="50927444"/>
    <w:lvl w:ilvl="0">
      <w:start w:val="14"/>
      <w:numFmt w:val="lowerRoman"/>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360"/>
        </w:tabs>
        <w:ind w:left="360" w:hanging="360"/>
      </w:pPr>
      <w:rPr>
        <w:rFonts w:eastAsia="Batang" w:cs="Times New Roman"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12E1A20"/>
    <w:multiLevelType w:val="hybridMultilevel"/>
    <w:tmpl w:val="F5D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25408"/>
    <w:multiLevelType w:val="hybridMultilevel"/>
    <w:tmpl w:val="0F0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85699"/>
    <w:multiLevelType w:val="hybridMultilevel"/>
    <w:tmpl w:val="90DEF7AC"/>
    <w:lvl w:ilvl="0" w:tplc="FCF03218">
      <w:start w:val="3"/>
      <w:numFmt w:val="lowerLetter"/>
      <w:lvlText w:val="(%1)"/>
      <w:lvlJc w:val="left"/>
      <w:pPr>
        <w:tabs>
          <w:tab w:val="num" w:pos="360"/>
        </w:tabs>
        <w:ind w:left="360" w:hanging="360"/>
      </w:pPr>
      <w:rPr>
        <w:rFonts w:eastAsia="Batang"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4F56EB"/>
    <w:multiLevelType w:val="multilevel"/>
    <w:tmpl w:val="47504318"/>
    <w:lvl w:ilvl="0">
      <w:start w:val="21"/>
      <w:numFmt w:val="lowerRoman"/>
      <w:lvlText w:val="%1."/>
      <w:lvlJc w:val="left"/>
      <w:pPr>
        <w:tabs>
          <w:tab w:val="num" w:pos="627"/>
        </w:tabs>
        <w:ind w:left="627" w:hanging="567"/>
      </w:pPr>
      <w:rPr>
        <w:rFonts w:ascii="Times New (W1)" w:hAnsi="Times New (W1)" w:cs="Times New Roman" w:hint="default"/>
        <w:b w:val="0"/>
        <w:i w:val="0"/>
        <w:color w:val="auto"/>
        <w:sz w:val="24"/>
        <w:szCs w:val="24"/>
      </w:rPr>
    </w:lvl>
    <w:lvl w:ilvl="1">
      <w:start w:val="1"/>
      <w:numFmt w:val="bullet"/>
      <w:lvlText w:val=""/>
      <w:lvlJc w:val="left"/>
      <w:pPr>
        <w:tabs>
          <w:tab w:val="num" w:pos="720"/>
        </w:tabs>
        <w:ind w:left="720" w:hanging="360"/>
      </w:pPr>
      <w:rPr>
        <w:rFonts w:ascii="Symbol" w:hAnsi="Symbol" w:hint="default"/>
        <w:b w:val="0"/>
        <w:i w:val="0"/>
        <w:color w:val="auto"/>
        <w:sz w:val="16"/>
      </w:rPr>
    </w:lvl>
    <w:lvl w:ilvl="2">
      <w:start w:val="1"/>
      <w:numFmt w:val="bullet"/>
      <w:lvlText w:val=""/>
      <w:lvlJc w:val="left"/>
      <w:pPr>
        <w:tabs>
          <w:tab w:val="num" w:pos="2340"/>
        </w:tabs>
        <w:ind w:left="2340" w:hanging="360"/>
      </w:pPr>
      <w:rPr>
        <w:rFonts w:ascii="Symbol" w:hAnsi="Symbol" w:hint="default"/>
        <w:b w:val="0"/>
        <w:i w:val="0"/>
        <w:color w:val="auto"/>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EB645EB"/>
    <w:multiLevelType w:val="hybridMultilevel"/>
    <w:tmpl w:val="7704741A"/>
    <w:lvl w:ilvl="0" w:tplc="163A2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26C68"/>
    <w:multiLevelType w:val="hybridMultilevel"/>
    <w:tmpl w:val="4F7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B510B"/>
    <w:multiLevelType w:val="hybridMultilevel"/>
    <w:tmpl w:val="0B507F5C"/>
    <w:lvl w:ilvl="0" w:tplc="523C37FE">
      <w:start w:val="2"/>
      <w:numFmt w:val="lowerRoman"/>
      <w:lvlText w:val="%1."/>
      <w:lvlJc w:val="left"/>
      <w:pPr>
        <w:tabs>
          <w:tab w:val="num" w:pos="360"/>
        </w:tabs>
        <w:ind w:left="360" w:hanging="360"/>
      </w:pPr>
      <w:rPr>
        <w:rFonts w:cs="Times New Roman" w:hint="default"/>
      </w:rPr>
    </w:lvl>
    <w:lvl w:ilvl="1" w:tplc="5CC8FA12">
      <w:start w:val="1"/>
      <w:numFmt w:val="lowerLetter"/>
      <w:lvlText w:val="(%2)"/>
      <w:lvlJc w:val="left"/>
      <w:pPr>
        <w:tabs>
          <w:tab w:val="num" w:pos="1440"/>
        </w:tabs>
        <w:ind w:left="1440" w:hanging="360"/>
      </w:pPr>
      <w:rPr>
        <w:rFonts w:eastAsia="Batang"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3E356E3"/>
    <w:multiLevelType w:val="hybridMultilevel"/>
    <w:tmpl w:val="E3EA41B8"/>
    <w:lvl w:ilvl="0" w:tplc="2A08C8DC">
      <w:start w:val="4"/>
      <w:numFmt w:val="lowerRoman"/>
      <w:lvlText w:val="%1."/>
      <w:lvlJc w:val="left"/>
      <w:pPr>
        <w:tabs>
          <w:tab w:val="num" w:pos="360"/>
        </w:tabs>
        <w:ind w:left="360" w:hanging="360"/>
      </w:pPr>
      <w:rPr>
        <w:rFonts w:cs="Times New Roman" w:hint="default"/>
      </w:rPr>
    </w:lvl>
    <w:lvl w:ilvl="1" w:tplc="60D8B772">
      <w:start w:val="7"/>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F770E2"/>
    <w:multiLevelType w:val="hybridMultilevel"/>
    <w:tmpl w:val="A74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7669E"/>
    <w:multiLevelType w:val="hybridMultilevel"/>
    <w:tmpl w:val="35B6CFA8"/>
    <w:lvl w:ilvl="0" w:tplc="6D222148">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11357"/>
    <w:multiLevelType w:val="hybridMultilevel"/>
    <w:tmpl w:val="5DEA4920"/>
    <w:lvl w:ilvl="0" w:tplc="6C74211A">
      <w:start w:val="1"/>
      <w:numFmt w:val="bullet"/>
      <w:lvlText w:val=""/>
      <w:lvlJc w:val="left"/>
      <w:pPr>
        <w:tabs>
          <w:tab w:val="num" w:pos="360"/>
        </w:tabs>
        <w:ind w:left="360" w:hanging="30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80570"/>
    <w:multiLevelType w:val="multilevel"/>
    <w:tmpl w:val="B95819B6"/>
    <w:lvl w:ilvl="0">
      <w:start w:val="17"/>
      <w:numFmt w:val="lowerRoman"/>
      <w:lvlText w:val="%1."/>
      <w:lvlJc w:val="left"/>
      <w:pPr>
        <w:tabs>
          <w:tab w:val="num" w:pos="504"/>
        </w:tabs>
        <w:ind w:left="504" w:hanging="504"/>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EB03792"/>
    <w:multiLevelType w:val="hybridMultilevel"/>
    <w:tmpl w:val="50927444"/>
    <w:lvl w:ilvl="0" w:tplc="5888BB54">
      <w:start w:val="14"/>
      <w:numFmt w:val="lowerRoman"/>
      <w:lvlText w:val="%1."/>
      <w:lvlJc w:val="left"/>
      <w:pPr>
        <w:tabs>
          <w:tab w:val="num" w:pos="360"/>
        </w:tabs>
        <w:ind w:left="360" w:hanging="360"/>
      </w:pPr>
      <w:rPr>
        <w:rFonts w:cs="Times New Roman"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3266F906">
      <w:start w:val="1"/>
      <w:numFmt w:val="lowerLetter"/>
      <w:lvlText w:val="(%3)"/>
      <w:lvlJc w:val="left"/>
      <w:pPr>
        <w:tabs>
          <w:tab w:val="num" w:pos="360"/>
        </w:tabs>
        <w:ind w:left="360" w:hanging="360"/>
      </w:pPr>
      <w:rPr>
        <w:rFonts w:eastAsia="Batang"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5980EDA"/>
    <w:multiLevelType w:val="hybridMultilevel"/>
    <w:tmpl w:val="09F43046"/>
    <w:lvl w:ilvl="0" w:tplc="F42CF328">
      <w:start w:val="1"/>
      <w:numFmt w:val="bullet"/>
      <w:lvlText w:val=""/>
      <w:lvlJc w:val="left"/>
      <w:pPr>
        <w:tabs>
          <w:tab w:val="num" w:pos="420"/>
        </w:tabs>
        <w:ind w:left="420" w:hanging="360"/>
      </w:pPr>
      <w:rPr>
        <w:rFonts w:ascii="Symbol" w:hAnsi="Symbol" w:hint="default"/>
        <w:b w:val="0"/>
        <w:i w:val="0"/>
        <w:color w:val="auto"/>
        <w:sz w:val="24"/>
      </w:rPr>
    </w:lvl>
    <w:lvl w:ilvl="1" w:tplc="BC6C0C3A">
      <w:start w:val="1"/>
      <w:numFmt w:val="bullet"/>
      <w:lvlText w:val=""/>
      <w:lvlJc w:val="left"/>
      <w:pPr>
        <w:tabs>
          <w:tab w:val="num" w:pos="720"/>
        </w:tabs>
        <w:ind w:left="720" w:hanging="360"/>
      </w:pPr>
      <w:rPr>
        <w:rFonts w:ascii="Symbol" w:hAnsi="Symbol" w:hint="default"/>
        <w:b w:val="0"/>
        <w:i w:val="0"/>
        <w:color w:val="auto"/>
        <w:sz w:val="16"/>
      </w:rPr>
    </w:lvl>
    <w:lvl w:ilvl="2" w:tplc="04090001">
      <w:start w:val="1"/>
      <w:numFmt w:val="bullet"/>
      <w:lvlText w:val=""/>
      <w:lvlJc w:val="left"/>
      <w:pPr>
        <w:tabs>
          <w:tab w:val="num" w:pos="2340"/>
        </w:tabs>
        <w:ind w:left="2340" w:hanging="360"/>
      </w:pPr>
      <w:rPr>
        <w:rFonts w:ascii="Symbol" w:hAnsi="Symbol" w:hint="default"/>
        <w:b w:val="0"/>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FC1731"/>
    <w:multiLevelType w:val="hybridMultilevel"/>
    <w:tmpl w:val="CBE6C5EA"/>
    <w:lvl w:ilvl="0" w:tplc="A11E680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4216B7"/>
    <w:multiLevelType w:val="hybridMultilevel"/>
    <w:tmpl w:val="47504318"/>
    <w:lvl w:ilvl="0" w:tplc="7D546AD8">
      <w:start w:val="21"/>
      <w:numFmt w:val="lowerRoman"/>
      <w:lvlText w:val="%1."/>
      <w:lvlJc w:val="left"/>
      <w:pPr>
        <w:tabs>
          <w:tab w:val="num" w:pos="627"/>
        </w:tabs>
        <w:ind w:left="627" w:hanging="567"/>
      </w:pPr>
      <w:rPr>
        <w:rFonts w:ascii="Times New (W1)" w:hAnsi="Times New (W1)" w:cs="Times New Roman" w:hint="default"/>
        <w:b w:val="0"/>
        <w:i w:val="0"/>
        <w:color w:val="auto"/>
        <w:sz w:val="24"/>
        <w:szCs w:val="24"/>
      </w:rPr>
    </w:lvl>
    <w:lvl w:ilvl="1" w:tplc="BC6C0C3A">
      <w:start w:val="1"/>
      <w:numFmt w:val="bullet"/>
      <w:lvlText w:val=""/>
      <w:lvlJc w:val="left"/>
      <w:pPr>
        <w:tabs>
          <w:tab w:val="num" w:pos="720"/>
        </w:tabs>
        <w:ind w:left="720" w:hanging="360"/>
      </w:pPr>
      <w:rPr>
        <w:rFonts w:ascii="Symbol" w:hAnsi="Symbol" w:hint="default"/>
        <w:b w:val="0"/>
        <w:i w:val="0"/>
        <w:color w:val="auto"/>
        <w:sz w:val="16"/>
      </w:rPr>
    </w:lvl>
    <w:lvl w:ilvl="2" w:tplc="04090001">
      <w:start w:val="1"/>
      <w:numFmt w:val="bullet"/>
      <w:lvlText w:val=""/>
      <w:lvlJc w:val="left"/>
      <w:pPr>
        <w:tabs>
          <w:tab w:val="num" w:pos="2340"/>
        </w:tabs>
        <w:ind w:left="2340" w:hanging="360"/>
      </w:pPr>
      <w:rPr>
        <w:rFonts w:ascii="Symbol" w:hAnsi="Symbol" w:hint="default"/>
        <w:b w:val="0"/>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E177C91"/>
    <w:multiLevelType w:val="hybridMultilevel"/>
    <w:tmpl w:val="7E24964E"/>
    <w:lvl w:ilvl="0" w:tplc="D5245700">
      <w:start w:val="1"/>
      <w:numFmt w:val="lowerLetter"/>
      <w:lvlText w:val="(%1)"/>
      <w:lvlJc w:val="left"/>
      <w:pPr>
        <w:tabs>
          <w:tab w:val="num" w:pos="360"/>
        </w:tabs>
        <w:ind w:left="360" w:hanging="360"/>
      </w:pPr>
      <w:rPr>
        <w:rFonts w:eastAsia="Batang" w:cs="Times New Roman" w:hint="eastAsia"/>
        <w:sz w:val="22"/>
      </w:rPr>
    </w:lvl>
    <w:lvl w:ilvl="1" w:tplc="C5F03956">
      <w:start w:val="1"/>
      <w:numFmt w:val="lowerLetter"/>
      <w:lvlText w:val="(%2)"/>
      <w:lvlJc w:val="left"/>
      <w:pPr>
        <w:tabs>
          <w:tab w:val="num" w:pos="360"/>
        </w:tabs>
        <w:ind w:left="360" w:hanging="360"/>
      </w:pPr>
      <w:rPr>
        <w:rFonts w:eastAsia="Batang" w:cs="Times New Roman" w:hint="eastAsia"/>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F995F56"/>
    <w:multiLevelType w:val="multilevel"/>
    <w:tmpl w:val="F02A00DC"/>
    <w:lvl w:ilvl="0">
      <w:start w:val="7"/>
      <w:numFmt w:val="lowerRoman"/>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8"/>
  </w:num>
  <w:num w:numId="2">
    <w:abstractNumId w:val="18"/>
    <w:lvlOverride w:ilvl="0">
      <w:startOverride w:val="1"/>
    </w:lvlOverride>
  </w:num>
  <w:num w:numId="3">
    <w:abstractNumId w:val="40"/>
  </w:num>
  <w:num w:numId="4">
    <w:abstractNumId w:val="4"/>
  </w:num>
  <w:num w:numId="5">
    <w:abstractNumId w:val="36"/>
  </w:num>
  <w:num w:numId="6">
    <w:abstractNumId w:val="41"/>
  </w:num>
  <w:num w:numId="7">
    <w:abstractNumId w:val="7"/>
  </w:num>
  <w:num w:numId="8">
    <w:abstractNumId w:val="33"/>
  </w:num>
  <w:num w:numId="9">
    <w:abstractNumId w:val="12"/>
  </w:num>
  <w:num w:numId="10">
    <w:abstractNumId w:val="9"/>
  </w:num>
  <w:num w:numId="11">
    <w:abstractNumId w:val="38"/>
  </w:num>
  <w:num w:numId="12">
    <w:abstractNumId w:val="32"/>
  </w:num>
  <w:num w:numId="13">
    <w:abstractNumId w:val="20"/>
  </w:num>
  <w:num w:numId="14">
    <w:abstractNumId w:val="39"/>
  </w:num>
  <w:num w:numId="15">
    <w:abstractNumId w:val="1"/>
  </w:num>
  <w:num w:numId="16">
    <w:abstractNumId w:val="17"/>
  </w:num>
  <w:num w:numId="17">
    <w:abstractNumId w:val="0"/>
  </w:num>
  <w:num w:numId="18">
    <w:abstractNumId w:val="28"/>
  </w:num>
  <w:num w:numId="19">
    <w:abstractNumId w:val="8"/>
  </w:num>
  <w:num w:numId="20">
    <w:abstractNumId w:val="24"/>
  </w:num>
  <w:num w:numId="21">
    <w:abstractNumId w:val="42"/>
  </w:num>
  <w:num w:numId="22">
    <w:abstractNumId w:val="43"/>
  </w:num>
  <w:num w:numId="23">
    <w:abstractNumId w:val="14"/>
  </w:num>
  <w:num w:numId="24">
    <w:abstractNumId w:val="25"/>
  </w:num>
  <w:num w:numId="25">
    <w:abstractNumId w:val="23"/>
  </w:num>
  <w:num w:numId="26">
    <w:abstractNumId w:val="3"/>
  </w:num>
  <w:num w:numId="27">
    <w:abstractNumId w:val="29"/>
  </w:num>
  <w:num w:numId="28">
    <w:abstractNumId w:val="22"/>
  </w:num>
  <w:num w:numId="29">
    <w:abstractNumId w:val="37"/>
  </w:num>
  <w:num w:numId="30">
    <w:abstractNumId w:val="35"/>
  </w:num>
  <w:num w:numId="31">
    <w:abstractNumId w:val="6"/>
  </w:num>
  <w:num w:numId="32">
    <w:abstractNumId w:val="2"/>
  </w:num>
  <w:num w:numId="33">
    <w:abstractNumId w:val="30"/>
  </w:num>
  <w:num w:numId="34">
    <w:abstractNumId w:val="10"/>
  </w:num>
  <w:num w:numId="35">
    <w:abstractNumId w:val="15"/>
  </w:num>
  <w:num w:numId="36">
    <w:abstractNumId w:val="5"/>
  </w:num>
  <w:num w:numId="37">
    <w:abstractNumId w:val="21"/>
  </w:num>
  <w:num w:numId="38">
    <w:abstractNumId w:val="27"/>
  </w:num>
  <w:num w:numId="39">
    <w:abstractNumId w:val="16"/>
  </w:num>
  <w:num w:numId="40">
    <w:abstractNumId w:val="19"/>
  </w:num>
  <w:num w:numId="41">
    <w:abstractNumId w:val="26"/>
  </w:num>
  <w:num w:numId="42">
    <w:abstractNumId w:val="34"/>
  </w:num>
  <w:num w:numId="43">
    <w:abstractNumId w:val="31"/>
  </w:num>
  <w:num w:numId="44">
    <w:abstractNumId w:val="11"/>
  </w:num>
  <w:num w:numId="4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CC3DB3"/>
    <w:rsid w:val="00000C40"/>
    <w:rsid w:val="000057F1"/>
    <w:rsid w:val="00011BCC"/>
    <w:rsid w:val="000177F3"/>
    <w:rsid w:val="000201E4"/>
    <w:rsid w:val="0002583C"/>
    <w:rsid w:val="00027504"/>
    <w:rsid w:val="00031095"/>
    <w:rsid w:val="00033440"/>
    <w:rsid w:val="000362B3"/>
    <w:rsid w:val="00041F3A"/>
    <w:rsid w:val="00044FAC"/>
    <w:rsid w:val="00045567"/>
    <w:rsid w:val="00047304"/>
    <w:rsid w:val="00056A4E"/>
    <w:rsid w:val="00065AB4"/>
    <w:rsid w:val="0007135A"/>
    <w:rsid w:val="000714C6"/>
    <w:rsid w:val="00074718"/>
    <w:rsid w:val="00075E61"/>
    <w:rsid w:val="00082B46"/>
    <w:rsid w:val="00092025"/>
    <w:rsid w:val="00092F0E"/>
    <w:rsid w:val="00094E2E"/>
    <w:rsid w:val="000979B2"/>
    <w:rsid w:val="00097DEC"/>
    <w:rsid w:val="000A5FC1"/>
    <w:rsid w:val="000A6801"/>
    <w:rsid w:val="000A7BDC"/>
    <w:rsid w:val="000B16C6"/>
    <w:rsid w:val="000B5E19"/>
    <w:rsid w:val="000C11E4"/>
    <w:rsid w:val="000C2972"/>
    <w:rsid w:val="000C35DC"/>
    <w:rsid w:val="000C62A0"/>
    <w:rsid w:val="000C6361"/>
    <w:rsid w:val="000D16E9"/>
    <w:rsid w:val="000D33AC"/>
    <w:rsid w:val="000E5B3F"/>
    <w:rsid w:val="000F23AF"/>
    <w:rsid w:val="000F2442"/>
    <w:rsid w:val="000F37CB"/>
    <w:rsid w:val="000F45DF"/>
    <w:rsid w:val="000F5026"/>
    <w:rsid w:val="000F53C9"/>
    <w:rsid w:val="000F5BAE"/>
    <w:rsid w:val="000F643E"/>
    <w:rsid w:val="000F67E1"/>
    <w:rsid w:val="001012E4"/>
    <w:rsid w:val="0010263D"/>
    <w:rsid w:val="00103EF4"/>
    <w:rsid w:val="00106D50"/>
    <w:rsid w:val="0010768D"/>
    <w:rsid w:val="00114A74"/>
    <w:rsid w:val="001246EA"/>
    <w:rsid w:val="0013123F"/>
    <w:rsid w:val="001449B3"/>
    <w:rsid w:val="00147FC5"/>
    <w:rsid w:val="001524DC"/>
    <w:rsid w:val="00153362"/>
    <w:rsid w:val="00161544"/>
    <w:rsid w:val="00164350"/>
    <w:rsid w:val="00164D54"/>
    <w:rsid w:val="00167739"/>
    <w:rsid w:val="00170C95"/>
    <w:rsid w:val="0017624C"/>
    <w:rsid w:val="00177DBC"/>
    <w:rsid w:val="001814D0"/>
    <w:rsid w:val="00182990"/>
    <w:rsid w:val="00182E4A"/>
    <w:rsid w:val="001849C0"/>
    <w:rsid w:val="00187E11"/>
    <w:rsid w:val="001B2001"/>
    <w:rsid w:val="001B6685"/>
    <w:rsid w:val="001D1936"/>
    <w:rsid w:val="001D1FA1"/>
    <w:rsid w:val="001D701A"/>
    <w:rsid w:val="001E1A58"/>
    <w:rsid w:val="001E23A2"/>
    <w:rsid w:val="001F0953"/>
    <w:rsid w:val="001F7DD1"/>
    <w:rsid w:val="00205807"/>
    <w:rsid w:val="002111C1"/>
    <w:rsid w:val="00215963"/>
    <w:rsid w:val="00221018"/>
    <w:rsid w:val="00221E63"/>
    <w:rsid w:val="00227814"/>
    <w:rsid w:val="002464E2"/>
    <w:rsid w:val="00247366"/>
    <w:rsid w:val="00247CDE"/>
    <w:rsid w:val="00255A39"/>
    <w:rsid w:val="00261504"/>
    <w:rsid w:val="00261D29"/>
    <w:rsid w:val="00264E27"/>
    <w:rsid w:val="00271C39"/>
    <w:rsid w:val="00274B1F"/>
    <w:rsid w:val="00284C3F"/>
    <w:rsid w:val="00290ECA"/>
    <w:rsid w:val="002930F2"/>
    <w:rsid w:val="002A0590"/>
    <w:rsid w:val="002A2F5C"/>
    <w:rsid w:val="002A7943"/>
    <w:rsid w:val="002B2770"/>
    <w:rsid w:val="002C4739"/>
    <w:rsid w:val="002C5B4A"/>
    <w:rsid w:val="002D01E2"/>
    <w:rsid w:val="002D1CFD"/>
    <w:rsid w:val="002E159E"/>
    <w:rsid w:val="002E24B8"/>
    <w:rsid w:val="002E3770"/>
    <w:rsid w:val="002F0CBB"/>
    <w:rsid w:val="002F3E30"/>
    <w:rsid w:val="002F68DB"/>
    <w:rsid w:val="002F6BEB"/>
    <w:rsid w:val="003009F9"/>
    <w:rsid w:val="0030371B"/>
    <w:rsid w:val="00306193"/>
    <w:rsid w:val="00306640"/>
    <w:rsid w:val="00311298"/>
    <w:rsid w:val="003143D3"/>
    <w:rsid w:val="00320EA8"/>
    <w:rsid w:val="00322A94"/>
    <w:rsid w:val="00323E35"/>
    <w:rsid w:val="003308D9"/>
    <w:rsid w:val="003412A8"/>
    <w:rsid w:val="003421B1"/>
    <w:rsid w:val="00343FB3"/>
    <w:rsid w:val="00345841"/>
    <w:rsid w:val="00347386"/>
    <w:rsid w:val="00356E72"/>
    <w:rsid w:val="00361558"/>
    <w:rsid w:val="00361BDE"/>
    <w:rsid w:val="003628E9"/>
    <w:rsid w:val="0036401F"/>
    <w:rsid w:val="00364456"/>
    <w:rsid w:val="003713A6"/>
    <w:rsid w:val="00371901"/>
    <w:rsid w:val="003723C3"/>
    <w:rsid w:val="0037444A"/>
    <w:rsid w:val="0037596C"/>
    <w:rsid w:val="00376D5D"/>
    <w:rsid w:val="003822C4"/>
    <w:rsid w:val="00384198"/>
    <w:rsid w:val="00394EA2"/>
    <w:rsid w:val="003952CC"/>
    <w:rsid w:val="00397888"/>
    <w:rsid w:val="00397AA2"/>
    <w:rsid w:val="003A2002"/>
    <w:rsid w:val="003A7CEA"/>
    <w:rsid w:val="003B253C"/>
    <w:rsid w:val="003B2D70"/>
    <w:rsid w:val="003C66B4"/>
    <w:rsid w:val="003E17E0"/>
    <w:rsid w:val="003E5305"/>
    <w:rsid w:val="003E7240"/>
    <w:rsid w:val="003F43B7"/>
    <w:rsid w:val="003F50AF"/>
    <w:rsid w:val="00404977"/>
    <w:rsid w:val="00404F6D"/>
    <w:rsid w:val="00405503"/>
    <w:rsid w:val="00406387"/>
    <w:rsid w:val="00415C7C"/>
    <w:rsid w:val="0042326B"/>
    <w:rsid w:val="0042428B"/>
    <w:rsid w:val="00426877"/>
    <w:rsid w:val="00427629"/>
    <w:rsid w:val="00431B4C"/>
    <w:rsid w:val="00433FDB"/>
    <w:rsid w:val="0043791D"/>
    <w:rsid w:val="0044080D"/>
    <w:rsid w:val="00456D62"/>
    <w:rsid w:val="00460395"/>
    <w:rsid w:val="00460AA3"/>
    <w:rsid w:val="00461C51"/>
    <w:rsid w:val="004622FF"/>
    <w:rsid w:val="00483968"/>
    <w:rsid w:val="00487F0E"/>
    <w:rsid w:val="004912E7"/>
    <w:rsid w:val="00491990"/>
    <w:rsid w:val="0049595D"/>
    <w:rsid w:val="004A052A"/>
    <w:rsid w:val="004A1A78"/>
    <w:rsid w:val="004A269E"/>
    <w:rsid w:val="004A5C61"/>
    <w:rsid w:val="004A69F1"/>
    <w:rsid w:val="004B13B6"/>
    <w:rsid w:val="004B3DBA"/>
    <w:rsid w:val="004C4441"/>
    <w:rsid w:val="004D52C4"/>
    <w:rsid w:val="004D5CEF"/>
    <w:rsid w:val="004D7EB1"/>
    <w:rsid w:val="004F0411"/>
    <w:rsid w:val="004F1312"/>
    <w:rsid w:val="004F139B"/>
    <w:rsid w:val="004F727E"/>
    <w:rsid w:val="00504013"/>
    <w:rsid w:val="00511098"/>
    <w:rsid w:val="00517214"/>
    <w:rsid w:val="005177AA"/>
    <w:rsid w:val="005231DE"/>
    <w:rsid w:val="0052739F"/>
    <w:rsid w:val="00527E73"/>
    <w:rsid w:val="005305A4"/>
    <w:rsid w:val="00531D49"/>
    <w:rsid w:val="00532441"/>
    <w:rsid w:val="00536868"/>
    <w:rsid w:val="0054015C"/>
    <w:rsid w:val="00546145"/>
    <w:rsid w:val="00557B5B"/>
    <w:rsid w:val="0058518C"/>
    <w:rsid w:val="005914B2"/>
    <w:rsid w:val="00597729"/>
    <w:rsid w:val="00597FE7"/>
    <w:rsid w:val="005A0318"/>
    <w:rsid w:val="005A2F55"/>
    <w:rsid w:val="005A61DE"/>
    <w:rsid w:val="005B2411"/>
    <w:rsid w:val="005B2F4F"/>
    <w:rsid w:val="005B6F9C"/>
    <w:rsid w:val="005C3581"/>
    <w:rsid w:val="005D2723"/>
    <w:rsid w:val="005D324C"/>
    <w:rsid w:val="005D68F2"/>
    <w:rsid w:val="005F117B"/>
    <w:rsid w:val="005F44BB"/>
    <w:rsid w:val="005F4598"/>
    <w:rsid w:val="005F7886"/>
    <w:rsid w:val="00600B78"/>
    <w:rsid w:val="00603AAC"/>
    <w:rsid w:val="00620969"/>
    <w:rsid w:val="00620997"/>
    <w:rsid w:val="00623967"/>
    <w:rsid w:val="00624341"/>
    <w:rsid w:val="00631BA0"/>
    <w:rsid w:val="00640399"/>
    <w:rsid w:val="0064250F"/>
    <w:rsid w:val="006447DE"/>
    <w:rsid w:val="00645B98"/>
    <w:rsid w:val="00645C52"/>
    <w:rsid w:val="00647E05"/>
    <w:rsid w:val="006602F1"/>
    <w:rsid w:val="006603ED"/>
    <w:rsid w:val="00670D32"/>
    <w:rsid w:val="00672F08"/>
    <w:rsid w:val="00681421"/>
    <w:rsid w:val="00693C02"/>
    <w:rsid w:val="006A0691"/>
    <w:rsid w:val="006A6BDD"/>
    <w:rsid w:val="006B480D"/>
    <w:rsid w:val="006B5912"/>
    <w:rsid w:val="006B619B"/>
    <w:rsid w:val="006C076F"/>
    <w:rsid w:val="006C2BD2"/>
    <w:rsid w:val="006C41E2"/>
    <w:rsid w:val="006D187E"/>
    <w:rsid w:val="006D3E29"/>
    <w:rsid w:val="006D6C67"/>
    <w:rsid w:val="006E11BD"/>
    <w:rsid w:val="006E5C2C"/>
    <w:rsid w:val="006F178C"/>
    <w:rsid w:val="006F6029"/>
    <w:rsid w:val="0070443F"/>
    <w:rsid w:val="00705045"/>
    <w:rsid w:val="007100B7"/>
    <w:rsid w:val="007239BE"/>
    <w:rsid w:val="00725409"/>
    <w:rsid w:val="00727517"/>
    <w:rsid w:val="00731744"/>
    <w:rsid w:val="00732B21"/>
    <w:rsid w:val="00733098"/>
    <w:rsid w:val="00735E47"/>
    <w:rsid w:val="007470C3"/>
    <w:rsid w:val="00751319"/>
    <w:rsid w:val="007514B1"/>
    <w:rsid w:val="007556B8"/>
    <w:rsid w:val="0075750F"/>
    <w:rsid w:val="00760529"/>
    <w:rsid w:val="00764646"/>
    <w:rsid w:val="007824F3"/>
    <w:rsid w:val="00785A45"/>
    <w:rsid w:val="007A1BBA"/>
    <w:rsid w:val="007A2CE0"/>
    <w:rsid w:val="007B41FA"/>
    <w:rsid w:val="007C5238"/>
    <w:rsid w:val="007E18D8"/>
    <w:rsid w:val="007E1E75"/>
    <w:rsid w:val="007E34CB"/>
    <w:rsid w:val="007E748D"/>
    <w:rsid w:val="007F215D"/>
    <w:rsid w:val="007F6AF7"/>
    <w:rsid w:val="008016C3"/>
    <w:rsid w:val="008034B5"/>
    <w:rsid w:val="00804026"/>
    <w:rsid w:val="00804215"/>
    <w:rsid w:val="00817475"/>
    <w:rsid w:val="00825E82"/>
    <w:rsid w:val="00830917"/>
    <w:rsid w:val="0083310D"/>
    <w:rsid w:val="00835162"/>
    <w:rsid w:val="00841F5B"/>
    <w:rsid w:val="0084380D"/>
    <w:rsid w:val="00844E55"/>
    <w:rsid w:val="0085485E"/>
    <w:rsid w:val="00863DEE"/>
    <w:rsid w:val="00866F84"/>
    <w:rsid w:val="00867DD5"/>
    <w:rsid w:val="008717CA"/>
    <w:rsid w:val="0087705C"/>
    <w:rsid w:val="00882F41"/>
    <w:rsid w:val="00890972"/>
    <w:rsid w:val="008917A2"/>
    <w:rsid w:val="00893E17"/>
    <w:rsid w:val="00895536"/>
    <w:rsid w:val="00895C57"/>
    <w:rsid w:val="00897715"/>
    <w:rsid w:val="00897C5B"/>
    <w:rsid w:val="008B6DBC"/>
    <w:rsid w:val="008B712F"/>
    <w:rsid w:val="008B77C7"/>
    <w:rsid w:val="008C1AF4"/>
    <w:rsid w:val="008C3426"/>
    <w:rsid w:val="008C6EA2"/>
    <w:rsid w:val="008C7239"/>
    <w:rsid w:val="008C7E55"/>
    <w:rsid w:val="008D2F81"/>
    <w:rsid w:val="008D5BC9"/>
    <w:rsid w:val="008D6683"/>
    <w:rsid w:val="008E3381"/>
    <w:rsid w:val="008E43CE"/>
    <w:rsid w:val="008F0408"/>
    <w:rsid w:val="008F13E4"/>
    <w:rsid w:val="008F323C"/>
    <w:rsid w:val="008F6F51"/>
    <w:rsid w:val="00903256"/>
    <w:rsid w:val="00903D40"/>
    <w:rsid w:val="00904FDD"/>
    <w:rsid w:val="009054A7"/>
    <w:rsid w:val="00912487"/>
    <w:rsid w:val="00912C94"/>
    <w:rsid w:val="00913984"/>
    <w:rsid w:val="00914672"/>
    <w:rsid w:val="00923897"/>
    <w:rsid w:val="00927E38"/>
    <w:rsid w:val="009327FC"/>
    <w:rsid w:val="00933B66"/>
    <w:rsid w:val="00934113"/>
    <w:rsid w:val="0093424B"/>
    <w:rsid w:val="00936B1D"/>
    <w:rsid w:val="0094678B"/>
    <w:rsid w:val="00951591"/>
    <w:rsid w:val="00955CC2"/>
    <w:rsid w:val="00956829"/>
    <w:rsid w:val="009612C9"/>
    <w:rsid w:val="009622A4"/>
    <w:rsid w:val="00972901"/>
    <w:rsid w:val="0097454D"/>
    <w:rsid w:val="00990F13"/>
    <w:rsid w:val="0099701C"/>
    <w:rsid w:val="009A16EF"/>
    <w:rsid w:val="009A3220"/>
    <w:rsid w:val="009B0630"/>
    <w:rsid w:val="009B3981"/>
    <w:rsid w:val="009B6491"/>
    <w:rsid w:val="009B7C4D"/>
    <w:rsid w:val="009C1026"/>
    <w:rsid w:val="009C3A42"/>
    <w:rsid w:val="009C3EBC"/>
    <w:rsid w:val="009C5281"/>
    <w:rsid w:val="009C565A"/>
    <w:rsid w:val="009C65E9"/>
    <w:rsid w:val="009C6CCA"/>
    <w:rsid w:val="009D1757"/>
    <w:rsid w:val="009D2F70"/>
    <w:rsid w:val="009E0A79"/>
    <w:rsid w:val="009E2D34"/>
    <w:rsid w:val="009E319C"/>
    <w:rsid w:val="00A04023"/>
    <w:rsid w:val="00A042A2"/>
    <w:rsid w:val="00A04797"/>
    <w:rsid w:val="00A05320"/>
    <w:rsid w:val="00A05C0C"/>
    <w:rsid w:val="00A15A44"/>
    <w:rsid w:val="00A15C82"/>
    <w:rsid w:val="00A2127E"/>
    <w:rsid w:val="00A27C38"/>
    <w:rsid w:val="00A427D4"/>
    <w:rsid w:val="00A479CD"/>
    <w:rsid w:val="00A53506"/>
    <w:rsid w:val="00A56EE3"/>
    <w:rsid w:val="00A613DF"/>
    <w:rsid w:val="00A62861"/>
    <w:rsid w:val="00A63103"/>
    <w:rsid w:val="00A66C36"/>
    <w:rsid w:val="00A725FD"/>
    <w:rsid w:val="00A73DAA"/>
    <w:rsid w:val="00A80626"/>
    <w:rsid w:val="00A81BBD"/>
    <w:rsid w:val="00A8365A"/>
    <w:rsid w:val="00A85862"/>
    <w:rsid w:val="00A87AF7"/>
    <w:rsid w:val="00A93D2D"/>
    <w:rsid w:val="00AA1797"/>
    <w:rsid w:val="00AA7272"/>
    <w:rsid w:val="00AA78C0"/>
    <w:rsid w:val="00AB3F94"/>
    <w:rsid w:val="00AB67EF"/>
    <w:rsid w:val="00AC5214"/>
    <w:rsid w:val="00AD54D5"/>
    <w:rsid w:val="00AD6C3F"/>
    <w:rsid w:val="00AE2A6C"/>
    <w:rsid w:val="00AE6AC3"/>
    <w:rsid w:val="00AE7E83"/>
    <w:rsid w:val="00AF1B3B"/>
    <w:rsid w:val="00AF4B1F"/>
    <w:rsid w:val="00B21771"/>
    <w:rsid w:val="00B3356B"/>
    <w:rsid w:val="00B33D2E"/>
    <w:rsid w:val="00B57334"/>
    <w:rsid w:val="00B577FC"/>
    <w:rsid w:val="00B61ECC"/>
    <w:rsid w:val="00B625B7"/>
    <w:rsid w:val="00B6454C"/>
    <w:rsid w:val="00B66337"/>
    <w:rsid w:val="00B67196"/>
    <w:rsid w:val="00B7296F"/>
    <w:rsid w:val="00B73D78"/>
    <w:rsid w:val="00B84D99"/>
    <w:rsid w:val="00B85335"/>
    <w:rsid w:val="00B907E5"/>
    <w:rsid w:val="00B97829"/>
    <w:rsid w:val="00BA55CF"/>
    <w:rsid w:val="00BA6536"/>
    <w:rsid w:val="00BB1CDC"/>
    <w:rsid w:val="00BD6120"/>
    <w:rsid w:val="00BD6A00"/>
    <w:rsid w:val="00BD6DAD"/>
    <w:rsid w:val="00BE17A0"/>
    <w:rsid w:val="00BE2101"/>
    <w:rsid w:val="00BF0F70"/>
    <w:rsid w:val="00BF3718"/>
    <w:rsid w:val="00C01C1B"/>
    <w:rsid w:val="00C13728"/>
    <w:rsid w:val="00C16EEA"/>
    <w:rsid w:val="00C174F7"/>
    <w:rsid w:val="00C22AD8"/>
    <w:rsid w:val="00C22C2D"/>
    <w:rsid w:val="00C27A60"/>
    <w:rsid w:val="00C33A72"/>
    <w:rsid w:val="00C41753"/>
    <w:rsid w:val="00C52321"/>
    <w:rsid w:val="00C5463E"/>
    <w:rsid w:val="00C56426"/>
    <w:rsid w:val="00C73349"/>
    <w:rsid w:val="00C83631"/>
    <w:rsid w:val="00C84DC7"/>
    <w:rsid w:val="00C876B1"/>
    <w:rsid w:val="00C90551"/>
    <w:rsid w:val="00C91247"/>
    <w:rsid w:val="00CA126B"/>
    <w:rsid w:val="00CA5FC4"/>
    <w:rsid w:val="00CA667E"/>
    <w:rsid w:val="00CB13DD"/>
    <w:rsid w:val="00CB306B"/>
    <w:rsid w:val="00CB62DB"/>
    <w:rsid w:val="00CC197F"/>
    <w:rsid w:val="00CC3DB3"/>
    <w:rsid w:val="00CC7237"/>
    <w:rsid w:val="00CD1559"/>
    <w:rsid w:val="00CD1B2C"/>
    <w:rsid w:val="00CD5B13"/>
    <w:rsid w:val="00CE67E6"/>
    <w:rsid w:val="00CE7560"/>
    <w:rsid w:val="00CF0177"/>
    <w:rsid w:val="00CF04BA"/>
    <w:rsid w:val="00CF267F"/>
    <w:rsid w:val="00CF33E8"/>
    <w:rsid w:val="00CF51C3"/>
    <w:rsid w:val="00D04D00"/>
    <w:rsid w:val="00D079CA"/>
    <w:rsid w:val="00D111E3"/>
    <w:rsid w:val="00D22086"/>
    <w:rsid w:val="00D24B70"/>
    <w:rsid w:val="00D279F6"/>
    <w:rsid w:val="00D321B8"/>
    <w:rsid w:val="00D336EA"/>
    <w:rsid w:val="00D3505B"/>
    <w:rsid w:val="00D36DC0"/>
    <w:rsid w:val="00D44CB6"/>
    <w:rsid w:val="00D57563"/>
    <w:rsid w:val="00D61695"/>
    <w:rsid w:val="00D71234"/>
    <w:rsid w:val="00D74073"/>
    <w:rsid w:val="00D75152"/>
    <w:rsid w:val="00D76064"/>
    <w:rsid w:val="00D80D38"/>
    <w:rsid w:val="00D839B9"/>
    <w:rsid w:val="00D922B1"/>
    <w:rsid w:val="00D92E3B"/>
    <w:rsid w:val="00D973BF"/>
    <w:rsid w:val="00DA25CE"/>
    <w:rsid w:val="00DB5C01"/>
    <w:rsid w:val="00DB7B47"/>
    <w:rsid w:val="00DC10A5"/>
    <w:rsid w:val="00DC365C"/>
    <w:rsid w:val="00DD39AA"/>
    <w:rsid w:val="00DD4C4B"/>
    <w:rsid w:val="00DE3B28"/>
    <w:rsid w:val="00DF0A0A"/>
    <w:rsid w:val="00DF1078"/>
    <w:rsid w:val="00DF479E"/>
    <w:rsid w:val="00DF7BA2"/>
    <w:rsid w:val="00E00939"/>
    <w:rsid w:val="00E03625"/>
    <w:rsid w:val="00E042B2"/>
    <w:rsid w:val="00E06EB4"/>
    <w:rsid w:val="00E16C97"/>
    <w:rsid w:val="00E228F1"/>
    <w:rsid w:val="00E34150"/>
    <w:rsid w:val="00E370F4"/>
    <w:rsid w:val="00E453D5"/>
    <w:rsid w:val="00E45817"/>
    <w:rsid w:val="00E51355"/>
    <w:rsid w:val="00E54D8D"/>
    <w:rsid w:val="00E56000"/>
    <w:rsid w:val="00E62403"/>
    <w:rsid w:val="00E67C44"/>
    <w:rsid w:val="00E728E4"/>
    <w:rsid w:val="00E73A88"/>
    <w:rsid w:val="00E74F8E"/>
    <w:rsid w:val="00E8466D"/>
    <w:rsid w:val="00E878CC"/>
    <w:rsid w:val="00E96E86"/>
    <w:rsid w:val="00EA36C6"/>
    <w:rsid w:val="00EB204C"/>
    <w:rsid w:val="00EC5974"/>
    <w:rsid w:val="00ED1155"/>
    <w:rsid w:val="00ED1C91"/>
    <w:rsid w:val="00ED51D2"/>
    <w:rsid w:val="00EE0D9A"/>
    <w:rsid w:val="00EE4A74"/>
    <w:rsid w:val="00EE5A03"/>
    <w:rsid w:val="00EF5F83"/>
    <w:rsid w:val="00F031DE"/>
    <w:rsid w:val="00F12567"/>
    <w:rsid w:val="00F12731"/>
    <w:rsid w:val="00F12F94"/>
    <w:rsid w:val="00F200ED"/>
    <w:rsid w:val="00F21596"/>
    <w:rsid w:val="00F22854"/>
    <w:rsid w:val="00F2427D"/>
    <w:rsid w:val="00F26BB5"/>
    <w:rsid w:val="00F34454"/>
    <w:rsid w:val="00F35789"/>
    <w:rsid w:val="00F36C43"/>
    <w:rsid w:val="00F40005"/>
    <w:rsid w:val="00F43B6E"/>
    <w:rsid w:val="00F44EAD"/>
    <w:rsid w:val="00F50961"/>
    <w:rsid w:val="00F561F8"/>
    <w:rsid w:val="00F6016F"/>
    <w:rsid w:val="00F61E45"/>
    <w:rsid w:val="00F6439A"/>
    <w:rsid w:val="00F84FB9"/>
    <w:rsid w:val="00F860DF"/>
    <w:rsid w:val="00F935B8"/>
    <w:rsid w:val="00F93EB7"/>
    <w:rsid w:val="00F9512D"/>
    <w:rsid w:val="00FA18B0"/>
    <w:rsid w:val="00FA422E"/>
    <w:rsid w:val="00FA49BC"/>
    <w:rsid w:val="00FB0F01"/>
    <w:rsid w:val="00FE5FA3"/>
    <w:rsid w:val="00FE7DBD"/>
    <w:rsid w:val="00FF67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DB3"/>
    <w:pPr>
      <w:spacing w:after="120"/>
    </w:pPr>
    <w:rPr>
      <w:sz w:val="24"/>
      <w:szCs w:val="24"/>
      <w:lang w:val="en-AU"/>
    </w:rPr>
  </w:style>
  <w:style w:type="paragraph" w:styleId="Heading1">
    <w:name w:val="heading 1"/>
    <w:basedOn w:val="Normal"/>
    <w:next w:val="Normal"/>
    <w:qFormat/>
    <w:rsid w:val="00CC3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3DB3"/>
    <w:pPr>
      <w:keepNext/>
      <w:numPr>
        <w:numId w:val="1"/>
      </w:numPr>
      <w:spacing w:before="360"/>
      <w:outlineLvl w:val="1"/>
    </w:pPr>
    <w:rPr>
      <w:rFonts w:ascii="Times New Roman Bold" w:hAnsi="Times New Roman Bold"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454D"/>
    <w:rPr>
      <w:rFonts w:ascii="Tahoma" w:hAnsi="Tahoma" w:cs="Tahoma"/>
      <w:sz w:val="16"/>
      <w:szCs w:val="16"/>
    </w:rPr>
  </w:style>
  <w:style w:type="paragraph" w:styleId="Header">
    <w:name w:val="header"/>
    <w:basedOn w:val="Normal"/>
    <w:rsid w:val="00CC3DB3"/>
    <w:pPr>
      <w:tabs>
        <w:tab w:val="center" w:pos="4153"/>
        <w:tab w:val="right" w:pos="8306"/>
      </w:tabs>
    </w:pPr>
  </w:style>
  <w:style w:type="paragraph" w:styleId="Footer">
    <w:name w:val="footer"/>
    <w:basedOn w:val="Normal"/>
    <w:rsid w:val="00CC3DB3"/>
    <w:pPr>
      <w:tabs>
        <w:tab w:val="center" w:pos="4153"/>
        <w:tab w:val="right" w:pos="8306"/>
      </w:tabs>
    </w:pPr>
  </w:style>
  <w:style w:type="character" w:styleId="PageNumber">
    <w:name w:val="page number"/>
    <w:basedOn w:val="DefaultParagraphFont"/>
    <w:rsid w:val="00CC3DB3"/>
    <w:rPr>
      <w:rFonts w:cs="Times New Roman"/>
    </w:rPr>
  </w:style>
  <w:style w:type="table" w:styleId="TableGrid">
    <w:name w:val="Table Grid"/>
    <w:basedOn w:val="TableNormal"/>
    <w:rsid w:val="00CC3DB3"/>
    <w:pPr>
      <w:spacing w:after="120"/>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CC3DB3"/>
    <w:rPr>
      <w:sz w:val="20"/>
      <w:szCs w:val="20"/>
    </w:rPr>
  </w:style>
  <w:style w:type="paragraph" w:styleId="FootnoteText">
    <w:name w:val="footnote text"/>
    <w:basedOn w:val="Normal"/>
    <w:semiHidden/>
    <w:rsid w:val="006B480D"/>
    <w:pPr>
      <w:spacing w:after="0"/>
    </w:pPr>
    <w:rPr>
      <w:sz w:val="20"/>
      <w:szCs w:val="20"/>
      <w:lang w:val="en-US"/>
    </w:rPr>
  </w:style>
  <w:style w:type="character" w:styleId="FootnoteReference">
    <w:name w:val="footnote reference"/>
    <w:basedOn w:val="DefaultParagraphFont"/>
    <w:semiHidden/>
    <w:rsid w:val="006B480D"/>
    <w:rPr>
      <w:rFonts w:cs="Times New Roman"/>
      <w:vertAlign w:val="superscript"/>
    </w:rPr>
  </w:style>
  <w:style w:type="paragraph" w:styleId="BodyText">
    <w:name w:val="Body Text"/>
    <w:basedOn w:val="Normal"/>
    <w:link w:val="BodyTextChar"/>
    <w:rsid w:val="006B480D"/>
    <w:pPr>
      <w:spacing w:before="120" w:after="0"/>
      <w:jc w:val="both"/>
    </w:pPr>
    <w:rPr>
      <w:sz w:val="22"/>
      <w:szCs w:val="20"/>
      <w:lang w:val="en-GB"/>
    </w:rPr>
  </w:style>
  <w:style w:type="character" w:customStyle="1" w:styleId="BodyTextChar">
    <w:name w:val="Body Text Char"/>
    <w:basedOn w:val="DefaultParagraphFont"/>
    <w:link w:val="BodyText"/>
    <w:locked/>
    <w:rsid w:val="006B480D"/>
    <w:rPr>
      <w:rFonts w:cs="Times New Roman"/>
      <w:sz w:val="22"/>
      <w:lang w:val="en-GB" w:eastAsia="en-US" w:bidi="ar-SA"/>
    </w:rPr>
  </w:style>
  <w:style w:type="character" w:styleId="CommentReference">
    <w:name w:val="annotation reference"/>
    <w:basedOn w:val="DefaultParagraphFont"/>
    <w:semiHidden/>
    <w:rsid w:val="007B41FA"/>
    <w:rPr>
      <w:rFonts w:cs="Times New Roman"/>
      <w:sz w:val="16"/>
      <w:szCs w:val="16"/>
    </w:rPr>
  </w:style>
  <w:style w:type="paragraph" w:styleId="CommentSubject">
    <w:name w:val="annotation subject"/>
    <w:basedOn w:val="CommentText"/>
    <w:next w:val="CommentText"/>
    <w:semiHidden/>
    <w:rsid w:val="007B41FA"/>
    <w:rPr>
      <w:b/>
      <w:bCs/>
    </w:rPr>
  </w:style>
  <w:style w:type="paragraph" w:customStyle="1" w:styleId="Default">
    <w:name w:val="Default"/>
    <w:rsid w:val="00731744"/>
    <w:pPr>
      <w:autoSpaceDE w:val="0"/>
      <w:autoSpaceDN w:val="0"/>
      <w:adjustRightInd w:val="0"/>
    </w:pPr>
    <w:rPr>
      <w:rFonts w:eastAsia="MS Mincho"/>
      <w:color w:val="000000"/>
      <w:sz w:val="24"/>
      <w:szCs w:val="24"/>
      <w:lang w:eastAsia="ja-JP"/>
    </w:rPr>
  </w:style>
  <w:style w:type="character" w:styleId="Hyperlink">
    <w:name w:val="Hyperlink"/>
    <w:basedOn w:val="DefaultParagraphFont"/>
    <w:rsid w:val="006F178C"/>
    <w:rPr>
      <w:rFonts w:cs="Times New Roman"/>
      <w:color w:val="0000FF"/>
      <w:u w:val="single"/>
    </w:rPr>
  </w:style>
  <w:style w:type="character" w:styleId="FollowedHyperlink">
    <w:name w:val="FollowedHyperlink"/>
    <w:basedOn w:val="DefaultParagraphFont"/>
    <w:rsid w:val="00065AB4"/>
    <w:rPr>
      <w:color w:val="800080"/>
      <w:u w:val="single"/>
    </w:rPr>
  </w:style>
  <w:style w:type="paragraph" w:styleId="ListParagraph">
    <w:name w:val="List Paragraph"/>
    <w:basedOn w:val="Normal"/>
    <w:uiPriority w:val="34"/>
    <w:qFormat/>
    <w:rsid w:val="00903D40"/>
    <w:pPr>
      <w:ind w:left="720"/>
      <w:contextualSpacing/>
    </w:pPr>
  </w:style>
  <w:style w:type="paragraph" w:styleId="Revision">
    <w:name w:val="Revision"/>
    <w:hidden/>
    <w:uiPriority w:val="99"/>
    <w:semiHidden/>
    <w:rsid w:val="00C22C2D"/>
    <w:rPr>
      <w:sz w:val="24"/>
      <w:szCs w:val="24"/>
      <w:lang w:val="en-A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D3B3-6B72-49A3-AE3C-AF5915BF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1525</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ANNEX I</vt:lpstr>
    </vt:vector>
  </TitlesOfParts>
  <Company>Western and Central Pacific Fisheries Commission</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subject/>
  <dc:creator>Preferred Customer</dc:creator>
  <cp:keywords/>
  <dc:description/>
  <cp:lastModifiedBy>johnh</cp:lastModifiedBy>
  <cp:revision>2</cp:revision>
  <cp:lastPrinted>2010-01-03T23:53:00Z</cp:lastPrinted>
  <dcterms:created xsi:type="dcterms:W3CDTF">2010-03-01T00:44:00Z</dcterms:created>
  <dcterms:modified xsi:type="dcterms:W3CDTF">2010-03-01T00:44:00Z</dcterms:modified>
</cp:coreProperties>
</file>