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D5" w:rsidRPr="00CE5B68" w:rsidRDefault="00D92CD5" w:rsidP="00421CF8">
      <w:pPr>
        <w:pStyle w:val="Title"/>
        <w:rPr>
          <w:lang w:val="en-AU"/>
        </w:rPr>
      </w:pPr>
      <w:bookmarkStart w:id="0" w:name="_GoBack"/>
      <w:bookmarkEnd w:id="0"/>
      <w:r w:rsidRPr="00CE5B68">
        <w:rPr>
          <w:lang w:val="en-AU"/>
        </w:rPr>
        <w:t>Observer Programme Progress and Update</w:t>
      </w:r>
    </w:p>
    <w:p w:rsidR="006464AA" w:rsidRDefault="006464AA" w:rsidP="00D92CD5">
      <w:pPr>
        <w:pStyle w:val="Heading1"/>
      </w:pPr>
    </w:p>
    <w:p w:rsidR="00D92CD5" w:rsidRPr="004A2E84" w:rsidRDefault="00D92CD5" w:rsidP="00D92CD5">
      <w:pPr>
        <w:pStyle w:val="Heading1"/>
      </w:pPr>
      <w:r w:rsidRPr="004A2E84">
        <w:t>Recommendations from the Regional Observer Coordinator Workshop</w:t>
      </w:r>
    </w:p>
    <w:p w:rsidR="00D92CD5" w:rsidRPr="0034073B" w:rsidRDefault="00D92CD5" w:rsidP="00D92CD5">
      <w:pPr>
        <w:pStyle w:val="BodyText"/>
      </w:pPr>
      <w:r w:rsidRPr="0034073B">
        <w:t xml:space="preserve">The 13th Regional Observer Coordinators Workshop was held in the </w:t>
      </w:r>
      <w:smartTag w:uri="urn:schemas-microsoft-com:office:smarttags" w:element="place">
        <w:r w:rsidRPr="0034073B">
          <w:t>Cook Islands</w:t>
        </w:r>
      </w:smartTag>
      <w:r w:rsidRPr="0034073B">
        <w:t xml:space="preserve"> during February 11-15, 2013. ROCW-13 was attended by representatives from the observer programmes of the Cook Islands, </w:t>
      </w:r>
      <w:smartTag w:uri="urn:schemas-microsoft-com:office:smarttags" w:element="country-region">
        <w:r w:rsidRPr="0034073B">
          <w:t>Fiji</w:t>
        </w:r>
      </w:smartTag>
      <w:r w:rsidRPr="0034073B">
        <w:t xml:space="preserve">, FSM, </w:t>
      </w:r>
      <w:smartTag w:uri="urn:schemas-microsoft-com:office:smarttags" w:element="country-region">
        <w:r w:rsidRPr="0034073B">
          <w:t>Kiribati</w:t>
        </w:r>
      </w:smartTag>
      <w:r w:rsidRPr="0034073B">
        <w:t xml:space="preserve">, </w:t>
      </w:r>
      <w:smartTag w:uri="urn:schemas-microsoft-com:office:smarttags" w:element="country-region">
        <w:r w:rsidRPr="0034073B">
          <w:t>Nauru</w:t>
        </w:r>
      </w:smartTag>
      <w:r w:rsidRPr="0034073B">
        <w:t xml:space="preserve">, </w:t>
      </w:r>
      <w:smartTag w:uri="urn:schemas-microsoft-com:office:smarttags" w:element="country-region">
        <w:r w:rsidRPr="0034073B">
          <w:t>Papua New Guinea</w:t>
        </w:r>
      </w:smartTag>
      <w:r w:rsidRPr="0034073B">
        <w:t xml:space="preserve">, Samoa, RMI, </w:t>
      </w:r>
      <w:smartTag w:uri="urn:schemas-microsoft-com:office:smarttags" w:element="country-region">
        <w:r w:rsidRPr="0034073B">
          <w:t>Solomon Islands</w:t>
        </w:r>
      </w:smartTag>
      <w:r w:rsidRPr="0034073B">
        <w:t xml:space="preserve">, </w:t>
      </w:r>
      <w:smartTag w:uri="urn:schemas-microsoft-com:office:smarttags" w:element="country-region">
        <w:r w:rsidRPr="0034073B">
          <w:t>Tuvalu</w:t>
        </w:r>
      </w:smartTag>
      <w:r w:rsidRPr="0034073B">
        <w:t xml:space="preserve">, </w:t>
      </w:r>
      <w:smartTag w:uri="urn:schemas-microsoft-com:office:smarttags" w:element="country-region">
        <w:r w:rsidRPr="0034073B">
          <w:t>Tonga</w:t>
        </w:r>
      </w:smartTag>
      <w:r w:rsidRPr="0034073B">
        <w:t xml:space="preserve">, </w:t>
      </w:r>
      <w:smartTag w:uri="urn:schemas-microsoft-com:office:smarttags" w:element="country-region">
        <w:smartTag w:uri="urn:schemas-microsoft-com:office:smarttags" w:element="place">
          <w:r w:rsidRPr="0034073B">
            <w:t>Vanuatu</w:t>
          </w:r>
        </w:smartTag>
      </w:smartTag>
      <w:r w:rsidRPr="0034073B">
        <w:t xml:space="preserve">, the USA (NMFS), FFA and SPC. Representatives of the Korean observer programme also attended Apologies were made by </w:t>
      </w:r>
      <w:smartTag w:uri="urn:schemas-microsoft-com:office:smarttags" w:element="country-region">
        <w:smartTag w:uri="urn:schemas-microsoft-com:office:smarttags" w:element="place">
          <w:r w:rsidRPr="0034073B">
            <w:t>Palau</w:t>
          </w:r>
        </w:smartTag>
      </w:smartTag>
      <w:r w:rsidRPr="0034073B">
        <w:t xml:space="preserve">. </w:t>
      </w:r>
    </w:p>
    <w:p w:rsidR="00D92CD5" w:rsidRPr="0034073B" w:rsidRDefault="00D92CD5" w:rsidP="00D92CD5">
      <w:pPr>
        <w:pStyle w:val="BodyText"/>
      </w:pPr>
      <w:r w:rsidRPr="0034073B">
        <w:t xml:space="preserve">The theme of the meeting was ‘Designing Our Future’.  Key issues of the meeting included dealing with allegations of observer corruption, developments of the PAO, participation in the ROP TAG, transhipment monitoring and the role of observers, WCPFC CMM’s </w:t>
      </w:r>
      <w:r>
        <w:t>monitoring by</w:t>
      </w:r>
      <w:r w:rsidRPr="0034073B">
        <w:t xml:space="preserve"> observers, observer safety equipment, insurance, PIRF</w:t>
      </w:r>
      <w:r>
        <w:t>O</w:t>
      </w:r>
      <w:r w:rsidRPr="0034073B">
        <w:t xml:space="preserve"> debriefing developments and o</w:t>
      </w:r>
      <w:r>
        <w:t xml:space="preserve">bserver </w:t>
      </w:r>
      <w:r w:rsidRPr="0034073B">
        <w:t xml:space="preserve">training schedule, </w:t>
      </w:r>
      <w:r>
        <w:t>The theme ‘Designing our Future’, was to look to the evolving role, tools and administration of observers to pre-empt fisheries management developments.  Future directions</w:t>
      </w:r>
      <w:r w:rsidRPr="0034073B">
        <w:t xml:space="preserve"> included</w:t>
      </w:r>
      <w:r>
        <w:t>, shifts among the regional and subregional agencies,</w:t>
      </w:r>
      <w:r w:rsidRPr="0034073B">
        <w:t xml:space="preserve"> MSC requirements</w:t>
      </w:r>
      <w:r>
        <w:t>,</w:t>
      </w:r>
      <w:r w:rsidRPr="0034073B">
        <w:t xml:space="preserve"> issues with data submission</w:t>
      </w:r>
      <w:r>
        <w:t>,</w:t>
      </w:r>
      <w:r w:rsidRPr="0034073B">
        <w:t xml:space="preserve"> a demo on e-reporting and OPM developments, FFA support and funding and development</w:t>
      </w:r>
      <w:r>
        <w:t>s</w:t>
      </w:r>
      <w:r w:rsidRPr="0034073B">
        <w:t xml:space="preserve"> in the observer programme management system.</w:t>
      </w:r>
    </w:p>
    <w:p w:rsidR="00D92CD5" w:rsidRDefault="00D92CD5" w:rsidP="00D92CD5">
      <w:pPr>
        <w:pStyle w:val="Heading1"/>
      </w:pPr>
      <w:r>
        <w:t>Programme Capacity Status</w:t>
      </w:r>
    </w:p>
    <w:p w:rsidR="00D92CD5" w:rsidRDefault="00D92CD5" w:rsidP="00D92CD5">
      <w:r>
        <w:t>A summary of Members observer programmes is summarised in Table 1.</w:t>
      </w:r>
    </w:p>
    <w:p w:rsidR="00D92CD5" w:rsidRPr="0034073B" w:rsidRDefault="00D92CD5" w:rsidP="00D92CD5">
      <w:pPr>
        <w:pStyle w:val="Caption"/>
      </w:pPr>
      <w:r>
        <w:t xml:space="preserve">Table </w:t>
      </w:r>
      <w:r w:rsidR="00161D38">
        <w:fldChar w:fldCharType="begin"/>
      </w:r>
      <w:r>
        <w:instrText xml:space="preserve"> SEQ Table \* ARABIC </w:instrText>
      </w:r>
      <w:r w:rsidR="00161D38">
        <w:fldChar w:fldCharType="separate"/>
      </w:r>
      <w:r w:rsidR="005532AC">
        <w:rPr>
          <w:noProof/>
        </w:rPr>
        <w:t>1</w:t>
      </w:r>
      <w:r w:rsidR="00161D38">
        <w:fldChar w:fldCharType="end"/>
      </w:r>
      <w:r>
        <w:t>. FFA Member Observer Programme status and capacities.</w:t>
      </w:r>
    </w:p>
    <w:tbl>
      <w:tblPr>
        <w:tblStyle w:val="TableSimple1"/>
        <w:tblW w:w="0" w:type="auto"/>
        <w:tblLook w:val="01E0"/>
      </w:tblPr>
      <w:tblGrid>
        <w:gridCol w:w="3188"/>
        <w:gridCol w:w="2385"/>
        <w:gridCol w:w="1438"/>
        <w:gridCol w:w="1438"/>
      </w:tblGrid>
      <w:tr w:rsidR="00D92CD5" w:rsidRPr="005704CB" w:rsidTr="0075699C">
        <w:trPr>
          <w:cnfStyle w:val="100000000000"/>
        </w:trPr>
        <w:tc>
          <w:tcPr>
            <w:tcW w:w="3188" w:type="dxa"/>
          </w:tcPr>
          <w:p w:rsidR="00D92CD5" w:rsidRPr="005704CB" w:rsidRDefault="00D92CD5" w:rsidP="0075699C">
            <w:pPr>
              <w:rPr>
                <w:b/>
              </w:rPr>
            </w:pPr>
            <w:r w:rsidRPr="005704CB">
              <w:rPr>
                <w:b/>
              </w:rPr>
              <w:t>Member</w:t>
            </w:r>
          </w:p>
        </w:tc>
        <w:tc>
          <w:tcPr>
            <w:tcW w:w="2385" w:type="dxa"/>
          </w:tcPr>
          <w:p w:rsidR="00D92CD5" w:rsidRPr="005704CB" w:rsidRDefault="00D92CD5" w:rsidP="0075699C">
            <w:pPr>
              <w:rPr>
                <w:b/>
              </w:rPr>
            </w:pPr>
            <w:r w:rsidRPr="005704CB">
              <w:rPr>
                <w:b/>
              </w:rPr>
              <w:t>Observers Cert/Trainee</w:t>
            </w:r>
          </w:p>
        </w:tc>
        <w:tc>
          <w:tcPr>
            <w:tcW w:w="1438" w:type="dxa"/>
          </w:tcPr>
          <w:p w:rsidR="00D92CD5" w:rsidRPr="005704CB" w:rsidRDefault="00D92CD5" w:rsidP="0075699C">
            <w:pPr>
              <w:rPr>
                <w:b/>
              </w:rPr>
            </w:pPr>
            <w:r w:rsidRPr="005704CB">
              <w:rPr>
                <w:b/>
              </w:rPr>
              <w:t>Debriefers Cert/Trainee</w:t>
            </w:r>
          </w:p>
        </w:tc>
        <w:tc>
          <w:tcPr>
            <w:tcW w:w="1438" w:type="dxa"/>
          </w:tcPr>
          <w:p w:rsidR="00D92CD5" w:rsidRPr="005704CB" w:rsidRDefault="00D92CD5" w:rsidP="0075699C">
            <w:pPr>
              <w:rPr>
                <w:b/>
              </w:rPr>
            </w:pPr>
            <w:r w:rsidRPr="005704CB">
              <w:rPr>
                <w:b/>
              </w:rPr>
              <w:t>Trainer Cert/Trainee</w:t>
            </w:r>
          </w:p>
        </w:tc>
      </w:tr>
      <w:tr w:rsidR="00D92CD5" w:rsidTr="0075699C">
        <w:tc>
          <w:tcPr>
            <w:tcW w:w="3188" w:type="dxa"/>
          </w:tcPr>
          <w:p w:rsidR="00D92CD5" w:rsidRDefault="00D92CD5" w:rsidP="0075699C">
            <w:pPr>
              <w:pStyle w:val="StyleAfter6pt"/>
            </w:pPr>
            <w:r>
              <w:t>Cook Is</w:t>
            </w:r>
          </w:p>
        </w:tc>
        <w:tc>
          <w:tcPr>
            <w:tcW w:w="2385" w:type="dxa"/>
          </w:tcPr>
          <w:p w:rsidR="00D92CD5" w:rsidRDefault="00D92CD5" w:rsidP="0075699C">
            <w:pPr>
              <w:pStyle w:val="StyleAfter6pt"/>
            </w:pPr>
            <w:r>
              <w:t>9 LL</w:t>
            </w:r>
          </w:p>
        </w:tc>
        <w:tc>
          <w:tcPr>
            <w:tcW w:w="1438" w:type="dxa"/>
          </w:tcPr>
          <w:p w:rsidR="00D92CD5" w:rsidRDefault="00D92CD5" w:rsidP="0075699C">
            <w:pPr>
              <w:pStyle w:val="StyleAfter6pt"/>
            </w:pPr>
            <w:r>
              <w:t>1/1</w:t>
            </w:r>
          </w:p>
        </w:tc>
        <w:tc>
          <w:tcPr>
            <w:tcW w:w="1438" w:type="dxa"/>
          </w:tcPr>
          <w:p w:rsidR="00D92CD5" w:rsidRDefault="00D92CD5" w:rsidP="0075699C"/>
        </w:tc>
      </w:tr>
      <w:tr w:rsidR="00D92CD5" w:rsidTr="0075699C">
        <w:tc>
          <w:tcPr>
            <w:tcW w:w="3188" w:type="dxa"/>
          </w:tcPr>
          <w:p w:rsidR="00D92CD5" w:rsidRDefault="00D92CD5" w:rsidP="0075699C">
            <w:pPr>
              <w:pStyle w:val="StyleAfter6pt"/>
            </w:pPr>
            <w:r>
              <w:t>FSM</w:t>
            </w:r>
          </w:p>
        </w:tc>
        <w:tc>
          <w:tcPr>
            <w:tcW w:w="2385" w:type="dxa"/>
          </w:tcPr>
          <w:p w:rsidR="00D92CD5" w:rsidRDefault="00D92CD5" w:rsidP="0075699C">
            <w:pPr>
              <w:pStyle w:val="StyleAfter6pt"/>
            </w:pPr>
            <w:r>
              <w:t>76</w:t>
            </w:r>
          </w:p>
        </w:tc>
        <w:tc>
          <w:tcPr>
            <w:tcW w:w="1438" w:type="dxa"/>
          </w:tcPr>
          <w:p w:rsidR="00D92CD5" w:rsidRDefault="00D92CD5" w:rsidP="0075699C">
            <w:pPr>
              <w:pStyle w:val="StyleAfter6pt"/>
            </w:pPr>
            <w:r>
              <w:t>1/6</w:t>
            </w:r>
          </w:p>
        </w:tc>
        <w:tc>
          <w:tcPr>
            <w:tcW w:w="1438" w:type="dxa"/>
          </w:tcPr>
          <w:p w:rsidR="00D92CD5" w:rsidRDefault="00D92CD5" w:rsidP="0075699C">
            <w:pPr>
              <w:pStyle w:val="StyleAfter6pt"/>
            </w:pPr>
            <w:r>
              <w:t>1</w:t>
            </w:r>
          </w:p>
        </w:tc>
      </w:tr>
      <w:tr w:rsidR="00D92CD5" w:rsidTr="0075699C">
        <w:tc>
          <w:tcPr>
            <w:tcW w:w="3188" w:type="dxa"/>
          </w:tcPr>
          <w:p w:rsidR="00D92CD5" w:rsidRDefault="00D92CD5" w:rsidP="0075699C">
            <w:pPr>
              <w:pStyle w:val="StyleAfter6pt"/>
            </w:pPr>
            <w:smartTag w:uri="urn:schemas-microsoft-com:office:smarttags" w:element="place">
              <w:smartTag w:uri="urn:schemas-microsoft-com:office:smarttags" w:element="country-region">
                <w:r>
                  <w:t>Fiji</w:t>
                </w:r>
              </w:smartTag>
            </w:smartTag>
          </w:p>
        </w:tc>
        <w:tc>
          <w:tcPr>
            <w:tcW w:w="2385" w:type="dxa"/>
          </w:tcPr>
          <w:p w:rsidR="00D92CD5" w:rsidRDefault="00D92CD5" w:rsidP="0075699C">
            <w:pPr>
              <w:pStyle w:val="StyleAfter6pt"/>
            </w:pPr>
            <w:r>
              <w:t>30 (8 Nat)</w:t>
            </w:r>
          </w:p>
        </w:tc>
        <w:tc>
          <w:tcPr>
            <w:tcW w:w="1438" w:type="dxa"/>
          </w:tcPr>
          <w:p w:rsidR="00D92CD5" w:rsidRDefault="00D92CD5" w:rsidP="0075699C">
            <w:pPr>
              <w:pStyle w:val="StyleAfter6pt"/>
            </w:pPr>
            <w:r>
              <w:t>½</w:t>
            </w:r>
          </w:p>
        </w:tc>
        <w:tc>
          <w:tcPr>
            <w:tcW w:w="1438" w:type="dxa"/>
          </w:tcPr>
          <w:p w:rsidR="00D92CD5" w:rsidRDefault="00D92CD5" w:rsidP="0075699C"/>
        </w:tc>
      </w:tr>
      <w:tr w:rsidR="00D92CD5" w:rsidTr="0075699C">
        <w:tc>
          <w:tcPr>
            <w:tcW w:w="3188" w:type="dxa"/>
          </w:tcPr>
          <w:p w:rsidR="00D92CD5" w:rsidRDefault="00D92CD5" w:rsidP="0075699C">
            <w:pPr>
              <w:pStyle w:val="StyleAfter6pt"/>
            </w:pPr>
            <w:smartTag w:uri="urn:schemas-microsoft-com:office:smarttags" w:element="place">
              <w:smartTag w:uri="urn:schemas-microsoft-com:office:smarttags" w:element="country-region">
                <w:r>
                  <w:t>Kiribati</w:t>
                </w:r>
              </w:smartTag>
            </w:smartTag>
          </w:p>
        </w:tc>
        <w:tc>
          <w:tcPr>
            <w:tcW w:w="2385" w:type="dxa"/>
          </w:tcPr>
          <w:p w:rsidR="00D92CD5" w:rsidRDefault="00D92CD5" w:rsidP="0075699C">
            <w:pPr>
              <w:pStyle w:val="StyleAfter6pt"/>
            </w:pPr>
            <w:r>
              <w:t>125 (50% active)         (9 X- endorsed)</w:t>
            </w:r>
          </w:p>
        </w:tc>
        <w:tc>
          <w:tcPr>
            <w:tcW w:w="1438" w:type="dxa"/>
          </w:tcPr>
          <w:p w:rsidR="00D92CD5" w:rsidRDefault="00D92CD5" w:rsidP="0075699C"/>
        </w:tc>
        <w:tc>
          <w:tcPr>
            <w:tcW w:w="1438" w:type="dxa"/>
          </w:tcPr>
          <w:p w:rsidR="00D92CD5" w:rsidRDefault="00D92CD5" w:rsidP="0075699C">
            <w:pPr>
              <w:pStyle w:val="StyleAfter6pt"/>
            </w:pPr>
            <w:r>
              <w:t>1</w:t>
            </w:r>
          </w:p>
        </w:tc>
      </w:tr>
      <w:tr w:rsidR="00D92CD5" w:rsidTr="0075699C">
        <w:tc>
          <w:tcPr>
            <w:tcW w:w="3188" w:type="dxa"/>
          </w:tcPr>
          <w:p w:rsidR="00D92CD5" w:rsidRDefault="00D92CD5" w:rsidP="0075699C">
            <w:pPr>
              <w:pStyle w:val="StyleAfter6pt"/>
            </w:pPr>
            <w:r>
              <w:t>RMI</w:t>
            </w:r>
          </w:p>
        </w:tc>
        <w:tc>
          <w:tcPr>
            <w:tcW w:w="2385" w:type="dxa"/>
          </w:tcPr>
          <w:p w:rsidR="00D92CD5" w:rsidRDefault="00D92CD5" w:rsidP="0075699C">
            <w:pPr>
              <w:pStyle w:val="StyleAfter6pt"/>
            </w:pPr>
            <w:r>
              <w:t>27 (16 active)</w:t>
            </w:r>
          </w:p>
        </w:tc>
        <w:tc>
          <w:tcPr>
            <w:tcW w:w="1438" w:type="dxa"/>
          </w:tcPr>
          <w:p w:rsidR="00D92CD5" w:rsidRDefault="00D92CD5" w:rsidP="0075699C"/>
        </w:tc>
        <w:tc>
          <w:tcPr>
            <w:tcW w:w="1438" w:type="dxa"/>
          </w:tcPr>
          <w:p w:rsidR="00D92CD5" w:rsidRDefault="00D92CD5" w:rsidP="0075699C"/>
        </w:tc>
      </w:tr>
      <w:tr w:rsidR="00D92CD5" w:rsidTr="0075699C">
        <w:tc>
          <w:tcPr>
            <w:tcW w:w="3188" w:type="dxa"/>
          </w:tcPr>
          <w:p w:rsidR="00D92CD5" w:rsidRDefault="00D92CD5" w:rsidP="0075699C">
            <w:pPr>
              <w:pStyle w:val="StyleAfter6pt"/>
            </w:pPr>
            <w:smartTag w:uri="urn:schemas-microsoft-com:office:smarttags" w:element="place">
              <w:smartTag w:uri="urn:schemas-microsoft-com:office:smarttags" w:element="country-region">
                <w:r>
                  <w:t>Nauru</w:t>
                </w:r>
              </w:smartTag>
            </w:smartTag>
          </w:p>
        </w:tc>
        <w:tc>
          <w:tcPr>
            <w:tcW w:w="2385" w:type="dxa"/>
          </w:tcPr>
          <w:p w:rsidR="00D92CD5" w:rsidRDefault="00D92CD5" w:rsidP="0075699C">
            <w:pPr>
              <w:pStyle w:val="StyleAfter6pt"/>
            </w:pPr>
            <w:r>
              <w:t>14/5</w:t>
            </w:r>
          </w:p>
        </w:tc>
        <w:tc>
          <w:tcPr>
            <w:tcW w:w="1438" w:type="dxa"/>
          </w:tcPr>
          <w:p w:rsidR="00D92CD5" w:rsidRDefault="00D92CD5" w:rsidP="0075699C">
            <w:pPr>
              <w:pStyle w:val="StyleAfter6pt"/>
            </w:pPr>
            <w:r>
              <w:t>0/3</w:t>
            </w:r>
          </w:p>
        </w:tc>
        <w:tc>
          <w:tcPr>
            <w:tcW w:w="1438" w:type="dxa"/>
          </w:tcPr>
          <w:p w:rsidR="00D92CD5" w:rsidRDefault="00D92CD5" w:rsidP="0075699C">
            <w:pPr>
              <w:pStyle w:val="StyleAfter6pt"/>
            </w:pPr>
            <w:r>
              <w:t>1</w:t>
            </w:r>
          </w:p>
        </w:tc>
      </w:tr>
      <w:tr w:rsidR="00D92CD5" w:rsidTr="0075699C">
        <w:tc>
          <w:tcPr>
            <w:tcW w:w="3188" w:type="dxa"/>
          </w:tcPr>
          <w:p w:rsidR="00D92CD5" w:rsidRDefault="00D92CD5" w:rsidP="0075699C">
            <w:pPr>
              <w:pStyle w:val="StyleAfter6pt"/>
            </w:pPr>
            <w:r>
              <w:t>PNG</w:t>
            </w:r>
          </w:p>
        </w:tc>
        <w:tc>
          <w:tcPr>
            <w:tcW w:w="2385" w:type="dxa"/>
          </w:tcPr>
          <w:p w:rsidR="00D92CD5" w:rsidRDefault="00D92CD5" w:rsidP="0075699C">
            <w:pPr>
              <w:pStyle w:val="StyleAfter6pt"/>
            </w:pPr>
            <w:r>
              <w:t>265 (22 women)</w:t>
            </w:r>
          </w:p>
        </w:tc>
        <w:tc>
          <w:tcPr>
            <w:tcW w:w="1438" w:type="dxa"/>
          </w:tcPr>
          <w:p w:rsidR="00D92CD5" w:rsidRDefault="00D92CD5" w:rsidP="0075699C">
            <w:pPr>
              <w:pStyle w:val="StyleAfter6pt"/>
            </w:pPr>
            <w:r>
              <w:t>12/55</w:t>
            </w:r>
          </w:p>
        </w:tc>
        <w:tc>
          <w:tcPr>
            <w:tcW w:w="1438" w:type="dxa"/>
          </w:tcPr>
          <w:p w:rsidR="00D92CD5" w:rsidRDefault="00D92CD5" w:rsidP="0075699C">
            <w:pPr>
              <w:pStyle w:val="StyleAfter6pt"/>
            </w:pPr>
            <w:r>
              <w:t>0/2</w:t>
            </w:r>
          </w:p>
        </w:tc>
      </w:tr>
      <w:tr w:rsidR="00D92CD5" w:rsidTr="0075699C">
        <w:tc>
          <w:tcPr>
            <w:tcW w:w="3188" w:type="dxa"/>
          </w:tcPr>
          <w:p w:rsidR="00D92CD5" w:rsidRDefault="00D92CD5" w:rsidP="0075699C">
            <w:pPr>
              <w:pStyle w:val="StyleAfter6pt"/>
            </w:pPr>
            <w:smartTag w:uri="urn:schemas-microsoft-com:office:smarttags" w:element="place">
              <w:r>
                <w:t>Samoa</w:t>
              </w:r>
            </w:smartTag>
          </w:p>
        </w:tc>
        <w:tc>
          <w:tcPr>
            <w:tcW w:w="2385" w:type="dxa"/>
          </w:tcPr>
          <w:p w:rsidR="00D92CD5" w:rsidRDefault="00D92CD5" w:rsidP="0075699C">
            <w:pPr>
              <w:pStyle w:val="StyleAfter6pt"/>
            </w:pPr>
            <w:r>
              <w:t>2</w:t>
            </w:r>
          </w:p>
        </w:tc>
        <w:tc>
          <w:tcPr>
            <w:tcW w:w="1438" w:type="dxa"/>
          </w:tcPr>
          <w:p w:rsidR="00D92CD5" w:rsidRDefault="00D92CD5" w:rsidP="0075699C"/>
        </w:tc>
        <w:tc>
          <w:tcPr>
            <w:tcW w:w="1438" w:type="dxa"/>
          </w:tcPr>
          <w:p w:rsidR="00D92CD5" w:rsidRDefault="00D92CD5" w:rsidP="0075699C"/>
        </w:tc>
      </w:tr>
      <w:tr w:rsidR="00D92CD5" w:rsidTr="0075699C">
        <w:tc>
          <w:tcPr>
            <w:tcW w:w="3188" w:type="dxa"/>
          </w:tcPr>
          <w:p w:rsidR="00D92CD5" w:rsidRDefault="00D92CD5" w:rsidP="0075699C">
            <w:pPr>
              <w:pStyle w:val="StyleAfter6pt"/>
            </w:pPr>
            <w:r>
              <w:t>Solomon Is</w:t>
            </w:r>
          </w:p>
        </w:tc>
        <w:tc>
          <w:tcPr>
            <w:tcW w:w="2385" w:type="dxa"/>
          </w:tcPr>
          <w:p w:rsidR="00D92CD5" w:rsidRDefault="00D92CD5" w:rsidP="0075699C">
            <w:pPr>
              <w:pStyle w:val="StyleAfter6pt"/>
            </w:pPr>
            <w:r>
              <w:t>80/12</w:t>
            </w:r>
          </w:p>
        </w:tc>
        <w:tc>
          <w:tcPr>
            <w:tcW w:w="1438" w:type="dxa"/>
          </w:tcPr>
          <w:p w:rsidR="00D92CD5" w:rsidRDefault="00D92CD5" w:rsidP="0075699C">
            <w:pPr>
              <w:pStyle w:val="StyleAfter6pt"/>
            </w:pPr>
            <w:r>
              <w:t>1/6</w:t>
            </w:r>
          </w:p>
        </w:tc>
        <w:tc>
          <w:tcPr>
            <w:tcW w:w="1438" w:type="dxa"/>
          </w:tcPr>
          <w:p w:rsidR="00D92CD5" w:rsidRDefault="00D92CD5" w:rsidP="0075699C">
            <w:pPr>
              <w:pStyle w:val="StyleAfter6pt"/>
            </w:pPr>
            <w:r>
              <w:t>1</w:t>
            </w:r>
          </w:p>
        </w:tc>
      </w:tr>
      <w:tr w:rsidR="00D92CD5" w:rsidTr="0075699C">
        <w:tc>
          <w:tcPr>
            <w:tcW w:w="3188" w:type="dxa"/>
          </w:tcPr>
          <w:p w:rsidR="00D92CD5" w:rsidRDefault="00D92CD5" w:rsidP="0075699C">
            <w:r>
              <w:t>Tokelau</w:t>
            </w:r>
          </w:p>
        </w:tc>
        <w:tc>
          <w:tcPr>
            <w:tcW w:w="2385" w:type="dxa"/>
          </w:tcPr>
          <w:p w:rsidR="00D92CD5" w:rsidRDefault="00D92CD5" w:rsidP="0075699C">
            <w:r>
              <w:t>3</w:t>
            </w:r>
          </w:p>
        </w:tc>
        <w:tc>
          <w:tcPr>
            <w:tcW w:w="1438" w:type="dxa"/>
          </w:tcPr>
          <w:p w:rsidR="00D92CD5" w:rsidRDefault="00D92CD5" w:rsidP="0075699C"/>
        </w:tc>
        <w:tc>
          <w:tcPr>
            <w:tcW w:w="1438" w:type="dxa"/>
          </w:tcPr>
          <w:p w:rsidR="00D92CD5" w:rsidRDefault="00D92CD5" w:rsidP="0075699C"/>
        </w:tc>
      </w:tr>
      <w:tr w:rsidR="00D92CD5" w:rsidTr="0075699C">
        <w:trPr>
          <w:trHeight w:val="692"/>
        </w:trPr>
        <w:tc>
          <w:tcPr>
            <w:tcW w:w="3188" w:type="dxa"/>
          </w:tcPr>
          <w:p w:rsidR="00D92CD5" w:rsidRPr="008B7B77" w:rsidRDefault="00D92CD5" w:rsidP="0075699C">
            <w:pPr>
              <w:rPr>
                <w:lang w:val="nl-NL"/>
              </w:rPr>
            </w:pPr>
            <w:r w:rsidRPr="007F17BD">
              <w:rPr>
                <w:lang w:val="nl-NL"/>
              </w:rPr>
              <w:t>Tonga</w:t>
            </w:r>
            <w:r>
              <w:rPr>
                <w:lang w:val="nl-NL"/>
              </w:rPr>
              <w:t xml:space="preserve">                              </w:t>
            </w:r>
            <w:r w:rsidRPr="008B7B77">
              <w:rPr>
                <w:lang w:val="nl-NL"/>
              </w:rPr>
              <w:t>LL</w:t>
            </w:r>
            <w:r>
              <w:rPr>
                <w:lang w:val="nl-NL"/>
              </w:rPr>
              <w:t>+</w:t>
            </w:r>
            <w:r w:rsidRPr="008B7B77">
              <w:rPr>
                <w:lang w:val="nl-NL"/>
              </w:rPr>
              <w:t>beche de mere+snapper</w:t>
            </w:r>
          </w:p>
        </w:tc>
        <w:tc>
          <w:tcPr>
            <w:tcW w:w="2385" w:type="dxa"/>
          </w:tcPr>
          <w:p w:rsidR="00D92CD5" w:rsidRDefault="00D92CD5" w:rsidP="0075699C">
            <w:r>
              <w:t>20</w:t>
            </w:r>
          </w:p>
        </w:tc>
        <w:tc>
          <w:tcPr>
            <w:tcW w:w="1438" w:type="dxa"/>
          </w:tcPr>
          <w:p w:rsidR="00D92CD5" w:rsidRDefault="00D92CD5" w:rsidP="0075699C"/>
        </w:tc>
        <w:tc>
          <w:tcPr>
            <w:tcW w:w="1438" w:type="dxa"/>
          </w:tcPr>
          <w:p w:rsidR="00D92CD5" w:rsidRDefault="00D92CD5" w:rsidP="0075699C"/>
        </w:tc>
      </w:tr>
      <w:tr w:rsidR="00D92CD5" w:rsidTr="0075699C">
        <w:tc>
          <w:tcPr>
            <w:tcW w:w="3188" w:type="dxa"/>
          </w:tcPr>
          <w:p w:rsidR="00D92CD5" w:rsidRDefault="00D92CD5" w:rsidP="0075699C">
            <w:smartTag w:uri="urn:schemas-microsoft-com:office:smarttags" w:element="country-region">
              <w:smartTag w:uri="urn:schemas-microsoft-com:office:smarttags" w:element="place">
                <w:r>
                  <w:t>Tuvalu</w:t>
                </w:r>
              </w:smartTag>
            </w:smartTag>
          </w:p>
        </w:tc>
        <w:tc>
          <w:tcPr>
            <w:tcW w:w="2385" w:type="dxa"/>
          </w:tcPr>
          <w:p w:rsidR="00D92CD5" w:rsidRDefault="00D92CD5" w:rsidP="0075699C">
            <w:r>
              <w:t>21</w:t>
            </w:r>
          </w:p>
        </w:tc>
        <w:tc>
          <w:tcPr>
            <w:tcW w:w="1438" w:type="dxa"/>
          </w:tcPr>
          <w:p w:rsidR="00D92CD5" w:rsidRDefault="00D92CD5" w:rsidP="0075699C"/>
        </w:tc>
        <w:tc>
          <w:tcPr>
            <w:tcW w:w="1438" w:type="dxa"/>
          </w:tcPr>
          <w:p w:rsidR="00D92CD5" w:rsidRDefault="00D92CD5" w:rsidP="0075699C"/>
        </w:tc>
      </w:tr>
      <w:tr w:rsidR="00D92CD5" w:rsidTr="0075699C">
        <w:tc>
          <w:tcPr>
            <w:tcW w:w="3188" w:type="dxa"/>
          </w:tcPr>
          <w:p w:rsidR="00D92CD5" w:rsidRDefault="00D92CD5" w:rsidP="0075699C">
            <w:smartTag w:uri="urn:schemas-microsoft-com:office:smarttags" w:element="country-region">
              <w:smartTag w:uri="urn:schemas-microsoft-com:office:smarttags" w:element="place">
                <w:r>
                  <w:t>Vanuatu</w:t>
                </w:r>
              </w:smartTag>
            </w:smartTag>
          </w:p>
        </w:tc>
        <w:tc>
          <w:tcPr>
            <w:tcW w:w="2385" w:type="dxa"/>
          </w:tcPr>
          <w:p w:rsidR="00D92CD5" w:rsidRDefault="00D92CD5" w:rsidP="0075699C">
            <w:r>
              <w:t>32 + 2 transhipment</w:t>
            </w:r>
          </w:p>
        </w:tc>
        <w:tc>
          <w:tcPr>
            <w:tcW w:w="1438" w:type="dxa"/>
          </w:tcPr>
          <w:p w:rsidR="00D92CD5" w:rsidRDefault="00D92CD5" w:rsidP="0075699C">
            <w:r>
              <w:t>0/3</w:t>
            </w:r>
          </w:p>
        </w:tc>
        <w:tc>
          <w:tcPr>
            <w:tcW w:w="1438" w:type="dxa"/>
          </w:tcPr>
          <w:p w:rsidR="00D92CD5" w:rsidRDefault="00D92CD5" w:rsidP="0075699C"/>
        </w:tc>
      </w:tr>
      <w:tr w:rsidR="00D92CD5" w:rsidTr="0075699C">
        <w:tc>
          <w:tcPr>
            <w:tcW w:w="3188" w:type="dxa"/>
          </w:tcPr>
          <w:p w:rsidR="00D92CD5" w:rsidRDefault="00D92CD5" w:rsidP="0075699C">
            <w:r>
              <w:t>FP</w:t>
            </w:r>
          </w:p>
        </w:tc>
        <w:tc>
          <w:tcPr>
            <w:tcW w:w="2385" w:type="dxa"/>
          </w:tcPr>
          <w:p w:rsidR="00D92CD5" w:rsidRDefault="00D92CD5" w:rsidP="0075699C">
            <w:r>
              <w:t>5/1 (LL)</w:t>
            </w:r>
          </w:p>
        </w:tc>
        <w:tc>
          <w:tcPr>
            <w:tcW w:w="1438" w:type="dxa"/>
          </w:tcPr>
          <w:p w:rsidR="00D92CD5" w:rsidRDefault="00D92CD5" w:rsidP="0075699C"/>
        </w:tc>
        <w:tc>
          <w:tcPr>
            <w:tcW w:w="1438" w:type="dxa"/>
          </w:tcPr>
          <w:p w:rsidR="00D92CD5" w:rsidRDefault="00D92CD5" w:rsidP="0075699C"/>
        </w:tc>
      </w:tr>
      <w:tr w:rsidR="00D92CD5" w:rsidTr="0075699C">
        <w:tc>
          <w:tcPr>
            <w:tcW w:w="3188" w:type="dxa"/>
          </w:tcPr>
          <w:p w:rsidR="00D92CD5" w:rsidRDefault="00D92CD5" w:rsidP="0075699C">
            <w:smartTag w:uri="urn:schemas-microsoft-com:office:smarttags" w:element="country-region">
              <w:smartTag w:uri="urn:schemas-microsoft-com:office:smarttags" w:element="place">
                <w:r>
                  <w:t>Korea</w:t>
                </w:r>
              </w:smartTag>
            </w:smartTag>
          </w:p>
        </w:tc>
        <w:tc>
          <w:tcPr>
            <w:tcW w:w="2385" w:type="dxa"/>
          </w:tcPr>
          <w:p w:rsidR="00D92CD5" w:rsidRDefault="00D92CD5" w:rsidP="0075699C">
            <w:r>
              <w:t>11</w:t>
            </w:r>
          </w:p>
        </w:tc>
        <w:tc>
          <w:tcPr>
            <w:tcW w:w="1438" w:type="dxa"/>
          </w:tcPr>
          <w:p w:rsidR="00D92CD5" w:rsidRDefault="00D92CD5" w:rsidP="0075699C">
            <w:r>
              <w:t>0</w:t>
            </w:r>
          </w:p>
        </w:tc>
        <w:tc>
          <w:tcPr>
            <w:tcW w:w="1438" w:type="dxa"/>
          </w:tcPr>
          <w:p w:rsidR="00D92CD5" w:rsidRDefault="00D92CD5" w:rsidP="0075699C"/>
        </w:tc>
      </w:tr>
      <w:tr w:rsidR="00D92CD5" w:rsidTr="0075699C">
        <w:trPr>
          <w:cnfStyle w:val="010000000000"/>
        </w:trPr>
        <w:tc>
          <w:tcPr>
            <w:tcW w:w="3188" w:type="dxa"/>
          </w:tcPr>
          <w:p w:rsidR="00D92CD5" w:rsidRDefault="00D92CD5" w:rsidP="0075699C">
            <w:r>
              <w:t>FFA</w:t>
            </w:r>
          </w:p>
        </w:tc>
        <w:tc>
          <w:tcPr>
            <w:tcW w:w="2385" w:type="dxa"/>
          </w:tcPr>
          <w:p w:rsidR="00D92CD5" w:rsidRDefault="00D92CD5" w:rsidP="0075699C">
            <w:r>
              <w:t>3</w:t>
            </w:r>
          </w:p>
        </w:tc>
        <w:tc>
          <w:tcPr>
            <w:tcW w:w="1438" w:type="dxa"/>
          </w:tcPr>
          <w:p w:rsidR="00D92CD5" w:rsidRDefault="00D92CD5" w:rsidP="0075699C">
            <w:r>
              <w:t>1/1</w:t>
            </w:r>
          </w:p>
        </w:tc>
        <w:tc>
          <w:tcPr>
            <w:tcW w:w="1438" w:type="dxa"/>
          </w:tcPr>
          <w:p w:rsidR="00D92CD5" w:rsidRDefault="00D92CD5" w:rsidP="0075699C">
            <w:r>
              <w:t>1</w:t>
            </w:r>
          </w:p>
        </w:tc>
      </w:tr>
    </w:tbl>
    <w:p w:rsidR="006464AA" w:rsidRDefault="006464AA" w:rsidP="00D92CD5">
      <w:pPr>
        <w:pStyle w:val="Heading1"/>
        <w:rPr>
          <w:lang w:val="en-NZ"/>
        </w:rPr>
      </w:pPr>
    </w:p>
    <w:p w:rsidR="006464AA" w:rsidRDefault="006464AA" w:rsidP="006464AA">
      <w:pPr>
        <w:rPr>
          <w:rFonts w:eastAsia="Times New Roman"/>
          <w:kern w:val="32"/>
          <w:sz w:val="24"/>
          <w:szCs w:val="32"/>
          <w:lang w:val="en-NZ"/>
        </w:rPr>
      </w:pPr>
      <w:r>
        <w:rPr>
          <w:lang w:val="en-NZ"/>
        </w:rPr>
        <w:br w:type="page"/>
      </w:r>
    </w:p>
    <w:p w:rsidR="00D92CD5" w:rsidRPr="00526156" w:rsidRDefault="00D92CD5" w:rsidP="00D92CD5">
      <w:pPr>
        <w:pStyle w:val="Heading1"/>
        <w:rPr>
          <w:lang w:val="en-NZ"/>
        </w:rPr>
      </w:pPr>
      <w:r w:rsidRPr="00526156">
        <w:rPr>
          <w:lang w:val="en-NZ"/>
        </w:rPr>
        <w:t>PIRFO Training</w:t>
      </w:r>
    </w:p>
    <w:p w:rsidR="00D92CD5" w:rsidRDefault="00D92CD5" w:rsidP="00D92CD5">
      <w:pPr>
        <w:tabs>
          <w:tab w:val="left" w:pos="1701"/>
          <w:tab w:val="left" w:pos="2127"/>
        </w:tabs>
        <w:rPr>
          <w:lang w:val="en-NZ"/>
        </w:rPr>
      </w:pPr>
      <w:r>
        <w:rPr>
          <w:lang w:val="en-NZ"/>
        </w:rPr>
        <w:t>PIRFO Training standards have been implemented and developed since 2008. A tentative training schedule for 2013 was presented and accepted. This is shown as Appendix 1.</w:t>
      </w:r>
    </w:p>
    <w:p w:rsidR="00D92CD5" w:rsidRDefault="00D92CD5" w:rsidP="00D92CD5">
      <w:pPr>
        <w:tabs>
          <w:tab w:val="left" w:pos="1701"/>
          <w:tab w:val="left" w:pos="2127"/>
        </w:tabs>
        <w:rPr>
          <w:lang w:val="en-NZ"/>
        </w:rPr>
      </w:pPr>
      <w:r>
        <w:rPr>
          <w:lang w:val="en-NZ"/>
        </w:rPr>
        <w:t xml:space="preserve">The ROCW reiterated that there needs to be a commitment to recruitment of suitable applicants for training. The pre-selection test that proved successful in sifting applicants. Some programmes were running </w:t>
      </w:r>
      <w:proofErr w:type="spellStart"/>
      <w:r>
        <w:rPr>
          <w:lang w:val="en-NZ"/>
        </w:rPr>
        <w:t>pretraining</w:t>
      </w:r>
      <w:proofErr w:type="spellEnd"/>
      <w:r>
        <w:rPr>
          <w:lang w:val="en-NZ"/>
        </w:rPr>
        <w:t xml:space="preserve"> courses.</w:t>
      </w:r>
    </w:p>
    <w:p w:rsidR="00D92CD5" w:rsidRDefault="00D92CD5" w:rsidP="00D92CD5">
      <w:pPr>
        <w:tabs>
          <w:tab w:val="left" w:pos="1701"/>
          <w:tab w:val="left" w:pos="2127"/>
        </w:tabs>
        <w:rPr>
          <w:lang w:val="en-NZ"/>
        </w:rPr>
      </w:pPr>
      <w:r>
        <w:rPr>
          <w:lang w:val="en-NZ"/>
        </w:rPr>
        <w:t xml:space="preserve">Some Members have had trainees attend observer training conducted in </w:t>
      </w:r>
      <w:smartTag w:uri="urn:schemas-microsoft-com:office:smarttags" w:element="country-region">
        <w:smartTag w:uri="urn:schemas-microsoft-com:office:smarttags" w:element="place">
          <w:r>
            <w:rPr>
              <w:lang w:val="en-NZ"/>
            </w:rPr>
            <w:t>Taiwan</w:t>
          </w:r>
        </w:smartTag>
      </w:smartTag>
      <w:r>
        <w:rPr>
          <w:lang w:val="en-NZ"/>
        </w:rPr>
        <w:t>. However, while the training appeared to meet PIRFO standards in the areas of Sea Safety and regional regulations (CMMs), it did not address the data collected or the forms used in the region. ROCW noted that there is a need to investigate how TW training can be better integrated with PIRFO training.</w:t>
      </w:r>
    </w:p>
    <w:p w:rsidR="00D92CD5" w:rsidRDefault="00D92CD5" w:rsidP="00D92CD5">
      <w:pPr>
        <w:pStyle w:val="Box"/>
        <w:numPr>
          <w:ilvl w:val="0"/>
          <w:numId w:val="0"/>
        </w:numPr>
      </w:pPr>
      <w:r w:rsidRPr="00153B33">
        <w:rPr>
          <w:rStyle w:val="Heading3Char"/>
        </w:rPr>
        <w:t>Recommendation</w:t>
      </w:r>
      <w:r w:rsidRPr="00CE5B68">
        <w:t xml:space="preserve">: </w:t>
      </w:r>
    </w:p>
    <w:p w:rsidR="00D92CD5" w:rsidRPr="00EB479C" w:rsidRDefault="00D92CD5" w:rsidP="00D92CD5">
      <w:pPr>
        <w:pStyle w:val="Box"/>
      </w:pPr>
      <w:r>
        <w:t>Endorse</w:t>
      </w:r>
      <w:r w:rsidRPr="00CE5B68">
        <w:t xml:space="preserve"> </w:t>
      </w:r>
      <w:r>
        <w:t>the PIRFO Observer Training Accreditation Standards and training schedule for 2013.</w:t>
      </w:r>
    </w:p>
    <w:p w:rsidR="00AA1D35" w:rsidRDefault="00AA1D35" w:rsidP="00D92CD5">
      <w:pPr>
        <w:pStyle w:val="Heading2"/>
      </w:pPr>
    </w:p>
    <w:p w:rsidR="00D92CD5" w:rsidRPr="00CE5B68" w:rsidRDefault="00D92CD5" w:rsidP="00D92CD5">
      <w:pPr>
        <w:pStyle w:val="Heading2"/>
      </w:pPr>
      <w:r w:rsidRPr="00CE5B68">
        <w:t>Marine Stewardship Certification</w:t>
      </w:r>
    </w:p>
    <w:p w:rsidR="00D92CD5" w:rsidRDefault="00D92CD5" w:rsidP="00D92CD5">
      <w:pPr>
        <w:pStyle w:val="BodyText"/>
        <w:rPr>
          <w:lang w:val="en-NZ"/>
        </w:rPr>
      </w:pPr>
      <w:r w:rsidRPr="00CE5B68">
        <w:t xml:space="preserve">The </w:t>
      </w:r>
      <w:r>
        <w:t>C</w:t>
      </w:r>
      <w:r w:rsidRPr="00CE5B68">
        <w:t xml:space="preserve">hain of </w:t>
      </w:r>
      <w:r>
        <w:t>C</w:t>
      </w:r>
      <w:r w:rsidRPr="00CE5B68">
        <w:t xml:space="preserve">ustody (CoC) requirements of the Marine Stewardship Certification (MSC) process was also briefly described.  PIRFO observers will have extra responsibility and require extra training, as there are specific reporting requirements required to meet the MSC CoC requirements.  </w:t>
      </w:r>
      <w:r>
        <w:t xml:space="preserve">Draft PIRFO MSC standards have been developed and initial training is proposed in FSM for PNA certified trainers. </w:t>
      </w:r>
      <w:r>
        <w:rPr>
          <w:lang w:val="en-NZ"/>
        </w:rPr>
        <w:t>Concerns were expressed that observer programmes were not more fully involved in development of the PNA MSC certification standards since the implications for extra work and pressure</w:t>
      </w:r>
      <w:r>
        <w:t>.</w:t>
      </w:r>
      <w:r w:rsidRPr="007047C0">
        <w:rPr>
          <w:lang w:val="en-NZ"/>
        </w:rPr>
        <w:t xml:space="preserve"> </w:t>
      </w:r>
      <w:r>
        <w:rPr>
          <w:lang w:val="en-NZ"/>
        </w:rPr>
        <w:t>The ROCW queried the source of funding for MSC training and whether it would be cost recovered.</w:t>
      </w:r>
    </w:p>
    <w:p w:rsidR="00D92CD5" w:rsidRDefault="00D92CD5" w:rsidP="00D92CD5">
      <w:pPr>
        <w:pStyle w:val="BodyText"/>
        <w:rPr>
          <w:lang w:val="en-NZ"/>
        </w:rPr>
      </w:pPr>
      <w:r>
        <w:rPr>
          <w:lang w:val="en-NZ"/>
        </w:rPr>
        <w:t xml:space="preserve">The draft MSC PIRFO Training and Accreditation standards have been developed with the perspective of being generic CoC but meeting the standards required by MSC. These are given as Appendix 2. MSC training is planned to be initiated in FSM in mid to late march and then taken to all PNA countries.  </w:t>
      </w:r>
    </w:p>
    <w:p w:rsidR="00AA1D35" w:rsidRPr="00CE5B68" w:rsidRDefault="00AA1D35" w:rsidP="00D92CD5">
      <w:pPr>
        <w:pStyle w:val="BodyText"/>
      </w:pPr>
    </w:p>
    <w:p w:rsidR="00D92CD5" w:rsidRDefault="00D92CD5" w:rsidP="00D92CD5">
      <w:pPr>
        <w:pStyle w:val="BodyText"/>
        <w:pBdr>
          <w:top w:val="single" w:sz="4" w:space="1" w:color="auto"/>
          <w:left w:val="single" w:sz="4" w:space="4" w:color="auto"/>
          <w:bottom w:val="single" w:sz="4" w:space="1" w:color="auto"/>
          <w:right w:val="single" w:sz="4" w:space="4" w:color="auto"/>
        </w:pBdr>
      </w:pPr>
      <w:r w:rsidRPr="00153B33">
        <w:rPr>
          <w:rStyle w:val="Heading3Char"/>
        </w:rPr>
        <w:t>Recommendation</w:t>
      </w:r>
      <w:r w:rsidRPr="00CE5B68">
        <w:t xml:space="preserve">: </w:t>
      </w:r>
    </w:p>
    <w:p w:rsidR="00D92CD5" w:rsidRPr="00EB479C" w:rsidRDefault="00D92CD5" w:rsidP="00D92CD5">
      <w:pPr>
        <w:pStyle w:val="BodyText"/>
        <w:numPr>
          <w:ilvl w:val="0"/>
          <w:numId w:val="2"/>
        </w:numPr>
        <w:pBdr>
          <w:top w:val="single" w:sz="4" w:space="1" w:color="auto"/>
          <w:left w:val="single" w:sz="4" w:space="4" w:color="auto"/>
          <w:bottom w:val="single" w:sz="4" w:space="1" w:color="auto"/>
          <w:right w:val="single" w:sz="4" w:space="4" w:color="auto"/>
        </w:pBdr>
      </w:pPr>
      <w:r>
        <w:t>Endorse</w:t>
      </w:r>
      <w:r w:rsidRPr="00CE5B68">
        <w:t xml:space="preserve"> </w:t>
      </w:r>
      <w:r>
        <w:t xml:space="preserve">the </w:t>
      </w:r>
      <w:r w:rsidRPr="00CE5B68">
        <w:t xml:space="preserve">CoC </w:t>
      </w:r>
      <w:r>
        <w:t>MSC PIRFO Training and Accreditation standards and initiation of MSC training.</w:t>
      </w:r>
    </w:p>
    <w:p w:rsidR="006464AA" w:rsidRDefault="006464AA">
      <w:pPr>
        <w:rPr>
          <w:rFonts w:cs="Arial"/>
          <w:b/>
          <w:bCs/>
          <w:i/>
          <w:iCs/>
          <w:sz w:val="24"/>
          <w:szCs w:val="28"/>
          <w:lang w:val="en-NZ"/>
        </w:rPr>
      </w:pPr>
      <w:r>
        <w:rPr>
          <w:lang w:val="en-NZ"/>
        </w:rPr>
        <w:br w:type="page"/>
      </w:r>
    </w:p>
    <w:p w:rsidR="00D92CD5" w:rsidRDefault="00D92CD5" w:rsidP="00D92CD5">
      <w:pPr>
        <w:pStyle w:val="Heading2"/>
        <w:rPr>
          <w:lang w:val="en-NZ"/>
        </w:rPr>
      </w:pPr>
      <w:r>
        <w:rPr>
          <w:lang w:val="en-NZ"/>
        </w:rPr>
        <w:t>PIRFO Debriefing</w:t>
      </w:r>
    </w:p>
    <w:p w:rsidR="00D92CD5" w:rsidRPr="003318F1" w:rsidRDefault="00D92CD5" w:rsidP="00D92CD5">
      <w:pPr>
        <w:pStyle w:val="BodyText"/>
        <w:rPr>
          <w:lang w:val="en-NZ"/>
        </w:rPr>
      </w:pPr>
      <w:r>
        <w:rPr>
          <w:lang w:val="en-NZ"/>
        </w:rPr>
        <w:t xml:space="preserve">Debriefing was recognised as critical to ground-truth observer data and ensuring the transmission of observer reported incidents to MCS authorities. Developing debriefing capacity in the region has become a priority for 2013.  </w:t>
      </w:r>
    </w:p>
    <w:p w:rsidR="00D92CD5" w:rsidRDefault="00D92CD5" w:rsidP="00D92CD5">
      <w:pPr>
        <w:pStyle w:val="BodyText"/>
        <w:rPr>
          <w:lang w:val="en-NZ"/>
        </w:rPr>
      </w:pPr>
      <w:r>
        <w:rPr>
          <w:lang w:val="en-NZ"/>
        </w:rPr>
        <w:t xml:space="preserve">The ROCW13 agreed that NOAA be asked to provide assistance with longline debriefing. </w:t>
      </w:r>
    </w:p>
    <w:p w:rsidR="00D92CD5" w:rsidRDefault="00D92CD5" w:rsidP="00D92CD5">
      <w:pPr>
        <w:pStyle w:val="Heading3"/>
        <w:rPr>
          <w:rStyle w:val="Strong"/>
        </w:rPr>
      </w:pPr>
      <w:r w:rsidRPr="00FE3991">
        <w:rPr>
          <w:rStyle w:val="Strong"/>
        </w:rPr>
        <w:t>Current status of debriefer training</w:t>
      </w:r>
    </w:p>
    <w:p w:rsidR="00D92CD5" w:rsidRDefault="00D92CD5" w:rsidP="00D92CD5">
      <w:pPr>
        <w:pStyle w:val="BodyText"/>
      </w:pPr>
      <w:r w:rsidRPr="000334D5">
        <w:rPr>
          <w:rStyle w:val="Strong"/>
          <w:b w:val="0"/>
        </w:rPr>
        <w:t>Process of accreditation and certification of debr</w:t>
      </w:r>
      <w:r>
        <w:rPr>
          <w:rStyle w:val="Strong"/>
          <w:b w:val="0"/>
        </w:rPr>
        <w:t>iefer</w:t>
      </w:r>
      <w:r w:rsidRPr="000334D5">
        <w:rPr>
          <w:rStyle w:val="Strong"/>
          <w:b w:val="0"/>
        </w:rPr>
        <w:t xml:space="preserve">s under PIRFO </w:t>
      </w:r>
      <w:r>
        <w:rPr>
          <w:rStyle w:val="Strong"/>
          <w:b w:val="0"/>
        </w:rPr>
        <w:t xml:space="preserve">standards </w:t>
      </w:r>
      <w:r w:rsidRPr="000334D5">
        <w:rPr>
          <w:rStyle w:val="Strong"/>
          <w:b w:val="0"/>
        </w:rPr>
        <w:t xml:space="preserve">is </w:t>
      </w:r>
      <w:r>
        <w:rPr>
          <w:rStyle w:val="Strong"/>
          <w:b w:val="0"/>
        </w:rPr>
        <w:t xml:space="preserve">a three-stage process. For those that have completed the requisite observer experience and data quality standards, there is an initial Part A :‘Introduction to Debriefing Workshop’ of one week. This is then followed by Part B: ‘On the Job Experience’ this involves the trainee </w:t>
      </w:r>
      <w:r>
        <w:t>observing a certified PIRFO debriefer conduct</w:t>
      </w:r>
      <w:r w:rsidRPr="00AD17E9">
        <w:t xml:space="preserve"> </w:t>
      </w:r>
      <w:r>
        <w:t>two</w:t>
      </w:r>
      <w:r w:rsidRPr="000334D5">
        <w:t xml:space="preserve"> full</w:t>
      </w:r>
      <w:r w:rsidRPr="00AD17E9">
        <w:t xml:space="preserve"> debriefings</w:t>
      </w:r>
      <w:r>
        <w:t>;</w:t>
      </w:r>
      <w:r w:rsidRPr="00AD17E9">
        <w:t xml:space="preserve"> </w:t>
      </w:r>
      <w:r>
        <w:t xml:space="preserve">then the trainee </w:t>
      </w:r>
      <w:r w:rsidRPr="00AD17E9">
        <w:t>conduct</w:t>
      </w:r>
      <w:r>
        <w:t>s</w:t>
      </w:r>
      <w:r w:rsidRPr="00AD17E9">
        <w:t xml:space="preserve"> </w:t>
      </w:r>
      <w:r>
        <w:t xml:space="preserve">at least three </w:t>
      </w:r>
      <w:r w:rsidRPr="000334D5">
        <w:t>full</w:t>
      </w:r>
      <w:r w:rsidRPr="00AD17E9">
        <w:rPr>
          <w:b/>
        </w:rPr>
        <w:t xml:space="preserve"> </w:t>
      </w:r>
      <w:r w:rsidRPr="00AD17E9">
        <w:t>debriefings supervised by a certified PIRFO Debriefer</w:t>
      </w:r>
      <w:r>
        <w:t xml:space="preserve">; </w:t>
      </w:r>
      <w:r w:rsidRPr="00AD17E9">
        <w:t xml:space="preserve">complete </w:t>
      </w:r>
      <w:r w:rsidRPr="007F17BD">
        <w:t>all</w:t>
      </w:r>
      <w:r w:rsidRPr="00AD17E9">
        <w:t xml:space="preserve"> the tasks contained in the observation checklist in the PIRFO Debriefer Assessment Record</w:t>
      </w:r>
      <w:r>
        <w:t xml:space="preserve"> (DAR)</w:t>
      </w:r>
      <w:r w:rsidRPr="00AD17E9">
        <w:t xml:space="preserve"> and have them verified and signed as </w:t>
      </w:r>
      <w:r>
        <w:t>C</w:t>
      </w:r>
      <w:r w:rsidRPr="00AD17E9">
        <w:t xml:space="preserve">ompetency </w:t>
      </w:r>
      <w:r>
        <w:t>A</w:t>
      </w:r>
      <w:r w:rsidRPr="00AD17E9">
        <w:t>chieved by a certified PIRFO Debriefer</w:t>
      </w:r>
      <w:r>
        <w:t xml:space="preserve">. Then the completed DAR is then submitted </w:t>
      </w:r>
      <w:r w:rsidRPr="00AD17E9">
        <w:t xml:space="preserve">to the PIRFO </w:t>
      </w:r>
      <w:r>
        <w:t xml:space="preserve">Certification Management Committee Secretariat </w:t>
      </w:r>
      <w:r w:rsidRPr="00AD17E9">
        <w:t>for verification and filing.</w:t>
      </w:r>
      <w:r>
        <w:t xml:space="preserve"> The final stage of assessment is a short final assessment workshop.</w:t>
      </w:r>
    </w:p>
    <w:p w:rsidR="00D92CD5" w:rsidRPr="00AD17E9" w:rsidRDefault="00D92CD5" w:rsidP="00D92CD5">
      <w:pPr>
        <w:pStyle w:val="BodyText"/>
      </w:pPr>
      <w:r>
        <w:t>Currently there are 25 certified debriefers with 65 trainee debriefers. The trainees have all done the Introduction to Debriefing workshop and are in the On the Job Experience phase. Generally they are prevented from completing this phase not have insufficient certified debriefers to supervise their completing this stage. Thus a series of mentoring attachments are planned.</w:t>
      </w:r>
    </w:p>
    <w:p w:rsidR="006464AA" w:rsidRDefault="006464AA" w:rsidP="006464AA"/>
    <w:p w:rsidR="00D92CD5" w:rsidRDefault="00D92CD5" w:rsidP="006464AA">
      <w:pPr>
        <w:rPr>
          <w:rStyle w:val="Strong"/>
          <w:lang w:val="en-NZ"/>
        </w:rPr>
      </w:pPr>
      <w:r>
        <w:t xml:space="preserve">Table </w:t>
      </w:r>
      <w:r w:rsidR="00161D38">
        <w:fldChar w:fldCharType="begin"/>
      </w:r>
      <w:r>
        <w:instrText xml:space="preserve"> SEQ Table \* ARABIC </w:instrText>
      </w:r>
      <w:r w:rsidR="00161D38">
        <w:fldChar w:fldCharType="separate"/>
      </w:r>
      <w:r w:rsidR="005532AC">
        <w:rPr>
          <w:noProof/>
        </w:rPr>
        <w:t>2</w:t>
      </w:r>
      <w:r w:rsidR="00161D38">
        <w:fldChar w:fldCharType="end"/>
      </w:r>
      <w:r>
        <w:t xml:space="preserve">. </w:t>
      </w:r>
      <w:r>
        <w:rPr>
          <w:rStyle w:val="Strong"/>
          <w:lang w:val="en-NZ"/>
        </w:rPr>
        <w:t>Current debriefing capacity status and planned intro to debriefing course allocations</w:t>
      </w:r>
    </w:p>
    <w:tbl>
      <w:tblPr>
        <w:tblStyle w:val="TableSimple1"/>
        <w:tblW w:w="9719" w:type="dxa"/>
        <w:tblLook w:val="01E0"/>
      </w:tblPr>
      <w:tblGrid>
        <w:gridCol w:w="1462"/>
        <w:gridCol w:w="2214"/>
        <w:gridCol w:w="2093"/>
        <w:gridCol w:w="1857"/>
        <w:gridCol w:w="2093"/>
      </w:tblGrid>
      <w:tr w:rsidR="00D92CD5" w:rsidRPr="0081423F" w:rsidTr="0075699C">
        <w:trPr>
          <w:cnfStyle w:val="100000000000"/>
        </w:trPr>
        <w:tc>
          <w:tcPr>
            <w:tcW w:w="1462" w:type="dxa"/>
          </w:tcPr>
          <w:p w:rsidR="00D92CD5" w:rsidRPr="0081423F" w:rsidRDefault="00D92CD5" w:rsidP="0075699C">
            <w:pPr>
              <w:spacing w:before="120"/>
              <w:rPr>
                <w:b/>
              </w:rPr>
            </w:pPr>
            <w:bookmarkStart w:id="1" w:name="OLE_LINK1"/>
            <w:r w:rsidRPr="0081423F">
              <w:rPr>
                <w:b/>
              </w:rPr>
              <w:t>Programme</w:t>
            </w:r>
          </w:p>
        </w:tc>
        <w:tc>
          <w:tcPr>
            <w:tcW w:w="2214" w:type="dxa"/>
          </w:tcPr>
          <w:p w:rsidR="00D92CD5" w:rsidRPr="0081423F" w:rsidRDefault="00D92CD5" w:rsidP="0075699C">
            <w:pPr>
              <w:spacing w:before="120"/>
              <w:rPr>
                <w:b/>
              </w:rPr>
            </w:pPr>
            <w:r w:rsidRPr="0081423F">
              <w:rPr>
                <w:b/>
              </w:rPr>
              <w:t>Certified Debriefers</w:t>
            </w:r>
          </w:p>
        </w:tc>
        <w:tc>
          <w:tcPr>
            <w:tcW w:w="2093" w:type="dxa"/>
          </w:tcPr>
          <w:p w:rsidR="00D92CD5" w:rsidRPr="0081423F" w:rsidRDefault="00D92CD5" w:rsidP="0075699C">
            <w:pPr>
              <w:spacing w:before="120"/>
              <w:rPr>
                <w:b/>
              </w:rPr>
            </w:pPr>
            <w:r w:rsidRPr="0081423F">
              <w:rPr>
                <w:b/>
              </w:rPr>
              <w:t>Trainee Debriefers</w:t>
            </w:r>
          </w:p>
        </w:tc>
        <w:tc>
          <w:tcPr>
            <w:tcW w:w="1857" w:type="dxa"/>
          </w:tcPr>
          <w:p w:rsidR="00D92CD5" w:rsidRPr="0081423F" w:rsidRDefault="00D92CD5" w:rsidP="0075699C">
            <w:pPr>
              <w:spacing w:before="120"/>
              <w:rPr>
                <w:b/>
              </w:rPr>
            </w:pPr>
            <w:r w:rsidRPr="0081423F">
              <w:rPr>
                <w:b/>
              </w:rPr>
              <w:t>1st Subregional Debriefer Intro</w:t>
            </w:r>
          </w:p>
          <w:p w:rsidR="00D92CD5" w:rsidRPr="0081423F" w:rsidRDefault="00D92CD5" w:rsidP="0075699C">
            <w:pPr>
              <w:spacing w:before="120"/>
              <w:rPr>
                <w:b/>
              </w:rPr>
            </w:pPr>
            <w:r w:rsidRPr="0081423F">
              <w:rPr>
                <w:b/>
              </w:rPr>
              <w:t>May PNI</w:t>
            </w:r>
          </w:p>
        </w:tc>
        <w:tc>
          <w:tcPr>
            <w:tcW w:w="2093" w:type="dxa"/>
          </w:tcPr>
          <w:p w:rsidR="00D92CD5" w:rsidRPr="0081423F" w:rsidRDefault="00D92CD5" w:rsidP="0075699C">
            <w:pPr>
              <w:spacing w:before="120"/>
              <w:rPr>
                <w:b/>
              </w:rPr>
            </w:pPr>
            <w:r w:rsidRPr="0081423F">
              <w:rPr>
                <w:b/>
              </w:rPr>
              <w:t>2nd Subregional Debriefer Training</w:t>
            </w:r>
          </w:p>
          <w:p w:rsidR="00D92CD5" w:rsidRPr="0081423F" w:rsidRDefault="00D92CD5" w:rsidP="0075699C">
            <w:pPr>
              <w:spacing w:before="120"/>
              <w:rPr>
                <w:b/>
              </w:rPr>
            </w:pPr>
            <w:r w:rsidRPr="0081423F">
              <w:rPr>
                <w:b/>
              </w:rPr>
              <w:t xml:space="preserve">Oct </w:t>
            </w:r>
            <w:smartTag w:uri="urn:schemas-microsoft-com:office:smarttags" w:element="City">
              <w:smartTag w:uri="urn:schemas-microsoft-com:office:smarttags" w:element="place">
                <w:r w:rsidRPr="0081423F">
                  <w:rPr>
                    <w:b/>
                  </w:rPr>
                  <w:t>Honiara</w:t>
                </w:r>
              </w:smartTag>
            </w:smartTag>
          </w:p>
        </w:tc>
      </w:tr>
      <w:tr w:rsidR="00D92CD5" w:rsidRPr="00243039" w:rsidTr="0075699C">
        <w:trPr>
          <w:trHeight w:val="348"/>
        </w:trPr>
        <w:tc>
          <w:tcPr>
            <w:tcW w:w="1462" w:type="dxa"/>
          </w:tcPr>
          <w:p w:rsidR="00D92CD5" w:rsidRPr="00243039" w:rsidRDefault="00D92CD5" w:rsidP="0075699C">
            <w:pPr>
              <w:pStyle w:val="StyleAfter6pt"/>
              <w:spacing w:before="120"/>
              <w:rPr>
                <w:rStyle w:val="Strong"/>
                <w:b w:val="0"/>
                <w:lang w:val="en-NZ"/>
              </w:rPr>
            </w:pPr>
            <w:smartTag w:uri="urn:schemas-microsoft-com:office:smarttags" w:element="place">
              <w:r w:rsidRPr="00243039">
                <w:rPr>
                  <w:rStyle w:val="Strong"/>
                  <w:b w:val="0"/>
                  <w:lang w:val="en-NZ"/>
                </w:rPr>
                <w:t>Cook Islands</w:t>
              </w:r>
            </w:smartTag>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1</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1</w:t>
            </w:r>
          </w:p>
        </w:tc>
        <w:tc>
          <w:tcPr>
            <w:tcW w:w="1857" w:type="dxa"/>
          </w:tcPr>
          <w:p w:rsidR="00D92CD5" w:rsidRPr="00243039" w:rsidRDefault="00D92CD5" w:rsidP="0075699C">
            <w:pPr>
              <w:tabs>
                <w:tab w:val="left" w:pos="1701"/>
                <w:tab w:val="left" w:pos="2127"/>
              </w:tabs>
              <w:spacing w:before="120"/>
              <w:jc w:val="right"/>
              <w:rPr>
                <w:rStyle w:val="Strong"/>
                <w:b w:val="0"/>
                <w:lang w:val="en-NZ"/>
              </w:rPr>
            </w:pPr>
          </w:p>
        </w:tc>
        <w:tc>
          <w:tcPr>
            <w:tcW w:w="2093"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1</w:t>
            </w: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r w:rsidRPr="00243039">
              <w:rPr>
                <w:rStyle w:val="Strong"/>
                <w:b w:val="0"/>
                <w:lang w:val="en-NZ"/>
              </w:rPr>
              <w:t>FSM</w:t>
            </w:r>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1</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5</w:t>
            </w:r>
          </w:p>
        </w:tc>
        <w:tc>
          <w:tcPr>
            <w:tcW w:w="1857"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5</w:t>
            </w:r>
          </w:p>
        </w:tc>
        <w:tc>
          <w:tcPr>
            <w:tcW w:w="2093" w:type="dxa"/>
          </w:tcPr>
          <w:p w:rsidR="00D92CD5" w:rsidRPr="00243039" w:rsidRDefault="00D92CD5" w:rsidP="0075699C">
            <w:pPr>
              <w:tabs>
                <w:tab w:val="left" w:pos="1701"/>
                <w:tab w:val="left" w:pos="2127"/>
              </w:tabs>
              <w:spacing w:before="120"/>
              <w:jc w:val="right"/>
              <w:rPr>
                <w:rStyle w:val="Strong"/>
                <w:b w:val="0"/>
                <w:lang w:val="en-NZ"/>
              </w:rPr>
            </w:pP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smartTag w:uri="urn:schemas-microsoft-com:office:smarttags" w:element="place">
              <w:smartTag w:uri="urn:schemas-microsoft-com:office:smarttags" w:element="country-region">
                <w:r w:rsidRPr="00243039">
                  <w:rPr>
                    <w:rStyle w:val="Strong"/>
                    <w:b w:val="0"/>
                    <w:lang w:val="en-NZ"/>
                  </w:rPr>
                  <w:t>Fiji</w:t>
                </w:r>
              </w:smartTag>
            </w:smartTag>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1</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2</w:t>
            </w:r>
          </w:p>
        </w:tc>
        <w:tc>
          <w:tcPr>
            <w:tcW w:w="1857" w:type="dxa"/>
          </w:tcPr>
          <w:p w:rsidR="00D92CD5" w:rsidRPr="00243039" w:rsidRDefault="00D92CD5" w:rsidP="0075699C">
            <w:pPr>
              <w:tabs>
                <w:tab w:val="left" w:pos="1701"/>
                <w:tab w:val="left" w:pos="2127"/>
              </w:tabs>
              <w:spacing w:before="120"/>
              <w:jc w:val="right"/>
              <w:rPr>
                <w:rStyle w:val="Strong"/>
                <w:b w:val="0"/>
                <w:lang w:val="en-NZ"/>
              </w:rPr>
            </w:pPr>
          </w:p>
        </w:tc>
        <w:tc>
          <w:tcPr>
            <w:tcW w:w="2093"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2</w:t>
            </w: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smartTag w:uri="urn:schemas-microsoft-com:office:smarttags" w:element="place">
              <w:smartTag w:uri="urn:schemas-microsoft-com:office:smarttags" w:element="country-region">
                <w:r w:rsidRPr="00243039">
                  <w:rPr>
                    <w:rStyle w:val="Strong"/>
                    <w:b w:val="0"/>
                    <w:lang w:val="en-NZ"/>
                  </w:rPr>
                  <w:t>Kiribati</w:t>
                </w:r>
              </w:smartTag>
            </w:smartTag>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1</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3</w:t>
            </w:r>
          </w:p>
        </w:tc>
        <w:tc>
          <w:tcPr>
            <w:tcW w:w="1857"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1</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1</w:t>
            </w: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r w:rsidRPr="00243039">
              <w:rPr>
                <w:rStyle w:val="Strong"/>
                <w:b w:val="0"/>
                <w:lang w:val="en-NZ"/>
              </w:rPr>
              <w:t>Marshal Is</w:t>
            </w:r>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0</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1</w:t>
            </w:r>
          </w:p>
        </w:tc>
        <w:tc>
          <w:tcPr>
            <w:tcW w:w="1857"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3</w:t>
            </w:r>
          </w:p>
        </w:tc>
        <w:tc>
          <w:tcPr>
            <w:tcW w:w="2093" w:type="dxa"/>
          </w:tcPr>
          <w:p w:rsidR="00D92CD5" w:rsidRPr="00243039" w:rsidRDefault="00D92CD5" w:rsidP="0075699C">
            <w:pPr>
              <w:tabs>
                <w:tab w:val="left" w:pos="1701"/>
                <w:tab w:val="left" w:pos="2127"/>
              </w:tabs>
              <w:spacing w:before="120"/>
              <w:jc w:val="right"/>
              <w:rPr>
                <w:rStyle w:val="Strong"/>
                <w:b w:val="0"/>
                <w:lang w:val="en-NZ"/>
              </w:rPr>
            </w:pP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smartTag w:uri="urn:schemas-microsoft-com:office:smarttags" w:element="place">
              <w:smartTag w:uri="urn:schemas-microsoft-com:office:smarttags" w:element="country-region">
                <w:r w:rsidRPr="00243039">
                  <w:rPr>
                    <w:rStyle w:val="Strong"/>
                    <w:b w:val="0"/>
                    <w:lang w:val="en-NZ"/>
                  </w:rPr>
                  <w:t>Nauru</w:t>
                </w:r>
              </w:smartTag>
            </w:smartTag>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0</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2</w:t>
            </w:r>
          </w:p>
        </w:tc>
        <w:tc>
          <w:tcPr>
            <w:tcW w:w="1857"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1</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1</w:t>
            </w: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r w:rsidRPr="00243039">
              <w:rPr>
                <w:rStyle w:val="Strong"/>
                <w:b w:val="0"/>
                <w:lang w:val="en-NZ"/>
              </w:rPr>
              <w:t>PNG</w:t>
            </w:r>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16</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37</w:t>
            </w:r>
          </w:p>
        </w:tc>
        <w:tc>
          <w:tcPr>
            <w:tcW w:w="1857" w:type="dxa"/>
          </w:tcPr>
          <w:p w:rsidR="00D92CD5" w:rsidRPr="00243039" w:rsidRDefault="00D92CD5" w:rsidP="0075699C">
            <w:pPr>
              <w:tabs>
                <w:tab w:val="left" w:pos="1701"/>
                <w:tab w:val="left" w:pos="2127"/>
              </w:tabs>
              <w:spacing w:before="120"/>
              <w:jc w:val="right"/>
              <w:rPr>
                <w:rStyle w:val="Strong"/>
                <w:b w:val="0"/>
                <w:lang w:val="en-NZ"/>
              </w:rPr>
            </w:pPr>
          </w:p>
        </w:tc>
        <w:tc>
          <w:tcPr>
            <w:tcW w:w="2093" w:type="dxa"/>
          </w:tcPr>
          <w:p w:rsidR="00D92CD5" w:rsidRPr="00243039" w:rsidRDefault="00D92CD5" w:rsidP="0075699C">
            <w:pPr>
              <w:tabs>
                <w:tab w:val="left" w:pos="1701"/>
                <w:tab w:val="left" w:pos="2127"/>
              </w:tabs>
              <w:spacing w:before="120"/>
              <w:jc w:val="right"/>
              <w:rPr>
                <w:rStyle w:val="Strong"/>
                <w:b w:val="0"/>
                <w:lang w:val="en-NZ"/>
              </w:rPr>
            </w:pP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r w:rsidRPr="00243039">
              <w:rPr>
                <w:rStyle w:val="Strong"/>
                <w:b w:val="0"/>
                <w:lang w:val="en-NZ"/>
              </w:rPr>
              <w:t>Solomon Is</w:t>
            </w:r>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1</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8</w:t>
            </w:r>
          </w:p>
        </w:tc>
        <w:tc>
          <w:tcPr>
            <w:tcW w:w="1857" w:type="dxa"/>
          </w:tcPr>
          <w:p w:rsidR="00D92CD5" w:rsidRPr="00243039" w:rsidRDefault="00D92CD5" w:rsidP="0075699C">
            <w:pPr>
              <w:tabs>
                <w:tab w:val="left" w:pos="1701"/>
                <w:tab w:val="left" w:pos="2127"/>
              </w:tabs>
              <w:spacing w:before="120"/>
              <w:jc w:val="right"/>
              <w:rPr>
                <w:rStyle w:val="Strong"/>
                <w:b w:val="0"/>
                <w:lang w:val="en-NZ"/>
              </w:rPr>
            </w:pPr>
          </w:p>
        </w:tc>
        <w:tc>
          <w:tcPr>
            <w:tcW w:w="2093"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2</w:t>
            </w:r>
          </w:p>
        </w:tc>
      </w:tr>
      <w:tr w:rsidR="00D92CD5" w:rsidRPr="00243039" w:rsidTr="0075699C">
        <w:trPr>
          <w:trHeight w:val="170"/>
        </w:trPr>
        <w:tc>
          <w:tcPr>
            <w:tcW w:w="1462" w:type="dxa"/>
          </w:tcPr>
          <w:p w:rsidR="00D92CD5" w:rsidRPr="00243039" w:rsidRDefault="00D92CD5" w:rsidP="0075699C">
            <w:pPr>
              <w:pStyle w:val="StyleAfter6pt"/>
              <w:spacing w:before="120"/>
              <w:rPr>
                <w:rStyle w:val="Strong"/>
                <w:b w:val="0"/>
                <w:lang w:val="en-NZ"/>
              </w:rPr>
            </w:pPr>
            <w:smartTag w:uri="urn:schemas-microsoft-com:office:smarttags" w:element="place">
              <w:smartTag w:uri="urn:schemas-microsoft-com:office:smarttags" w:element="country-region">
                <w:r>
                  <w:rPr>
                    <w:rStyle w:val="Strong"/>
                    <w:b w:val="0"/>
                    <w:lang w:val="en-NZ"/>
                  </w:rPr>
                  <w:t>Tonga</w:t>
                </w:r>
              </w:smartTag>
            </w:smartTag>
          </w:p>
        </w:tc>
        <w:tc>
          <w:tcPr>
            <w:tcW w:w="2214"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0</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0</w:t>
            </w:r>
          </w:p>
        </w:tc>
        <w:tc>
          <w:tcPr>
            <w:tcW w:w="1857" w:type="dxa"/>
          </w:tcPr>
          <w:p w:rsidR="00D92CD5" w:rsidRDefault="00D92CD5" w:rsidP="0075699C">
            <w:pPr>
              <w:tabs>
                <w:tab w:val="left" w:pos="1701"/>
                <w:tab w:val="left" w:pos="2127"/>
              </w:tabs>
              <w:spacing w:before="120"/>
              <w:jc w:val="right"/>
              <w:rPr>
                <w:rStyle w:val="Strong"/>
                <w:b w:val="0"/>
                <w:lang w:val="en-NZ"/>
              </w:rPr>
            </w:pPr>
            <w:r>
              <w:rPr>
                <w:rStyle w:val="Strong"/>
                <w:b w:val="0"/>
                <w:lang w:val="en-NZ"/>
              </w:rPr>
              <w:t>1</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2</w:t>
            </w: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smartTag w:uri="urn:schemas-microsoft-com:office:smarttags" w:element="place">
              <w:smartTag w:uri="urn:schemas-microsoft-com:office:smarttags" w:element="country-region">
                <w:r w:rsidRPr="00243039">
                  <w:rPr>
                    <w:rStyle w:val="Strong"/>
                    <w:b w:val="0"/>
                    <w:lang w:val="en-NZ"/>
                  </w:rPr>
                  <w:t>Tuvalu</w:t>
                </w:r>
              </w:smartTag>
            </w:smartTag>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0</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1</w:t>
            </w:r>
          </w:p>
        </w:tc>
        <w:tc>
          <w:tcPr>
            <w:tcW w:w="1857"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1</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1</w:t>
            </w: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smartTag w:uri="urn:schemas-microsoft-com:office:smarttags" w:element="place">
              <w:smartTag w:uri="urn:schemas-microsoft-com:office:smarttags" w:element="country-region">
                <w:r w:rsidRPr="00243039">
                  <w:rPr>
                    <w:rStyle w:val="Strong"/>
                    <w:b w:val="0"/>
                    <w:lang w:val="en-NZ"/>
                  </w:rPr>
                  <w:t>Vanuatu</w:t>
                </w:r>
              </w:smartTag>
            </w:smartTag>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0</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2</w:t>
            </w:r>
          </w:p>
        </w:tc>
        <w:tc>
          <w:tcPr>
            <w:tcW w:w="1857" w:type="dxa"/>
          </w:tcPr>
          <w:p w:rsidR="00D92CD5" w:rsidRPr="00243039" w:rsidRDefault="00D92CD5" w:rsidP="0075699C">
            <w:pPr>
              <w:tabs>
                <w:tab w:val="left" w:pos="1701"/>
                <w:tab w:val="left" w:pos="2127"/>
              </w:tabs>
              <w:spacing w:before="120"/>
              <w:jc w:val="right"/>
              <w:rPr>
                <w:rStyle w:val="Strong"/>
                <w:b w:val="0"/>
                <w:lang w:val="en-NZ"/>
              </w:rPr>
            </w:pPr>
          </w:p>
        </w:tc>
        <w:tc>
          <w:tcPr>
            <w:tcW w:w="2093"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1</w:t>
            </w: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r w:rsidRPr="00243039">
              <w:rPr>
                <w:rStyle w:val="Strong"/>
                <w:b w:val="0"/>
                <w:lang w:val="en-NZ"/>
              </w:rPr>
              <w:t>FFA</w:t>
            </w:r>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1</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3</w:t>
            </w:r>
          </w:p>
        </w:tc>
        <w:tc>
          <w:tcPr>
            <w:tcW w:w="1857" w:type="dxa"/>
          </w:tcPr>
          <w:p w:rsidR="00D92CD5" w:rsidRPr="00243039" w:rsidRDefault="00D92CD5" w:rsidP="0075699C">
            <w:pPr>
              <w:tabs>
                <w:tab w:val="left" w:pos="1701"/>
                <w:tab w:val="left" w:pos="2127"/>
              </w:tabs>
              <w:spacing w:before="120"/>
              <w:jc w:val="right"/>
              <w:rPr>
                <w:rStyle w:val="Strong"/>
                <w:b w:val="0"/>
                <w:lang w:val="en-NZ"/>
              </w:rPr>
            </w:pPr>
          </w:p>
        </w:tc>
        <w:tc>
          <w:tcPr>
            <w:tcW w:w="2093" w:type="dxa"/>
          </w:tcPr>
          <w:p w:rsidR="00D92CD5" w:rsidRPr="00243039" w:rsidRDefault="00D92CD5" w:rsidP="0075699C">
            <w:pPr>
              <w:tabs>
                <w:tab w:val="left" w:pos="1701"/>
                <w:tab w:val="left" w:pos="2127"/>
              </w:tabs>
              <w:spacing w:before="120"/>
              <w:jc w:val="right"/>
              <w:rPr>
                <w:rStyle w:val="Strong"/>
                <w:b w:val="0"/>
                <w:lang w:val="en-NZ"/>
              </w:rPr>
            </w:pPr>
          </w:p>
        </w:tc>
      </w:tr>
      <w:tr w:rsidR="00D92CD5" w:rsidRPr="00243039" w:rsidTr="0075699C">
        <w:tc>
          <w:tcPr>
            <w:tcW w:w="1462" w:type="dxa"/>
          </w:tcPr>
          <w:p w:rsidR="00D92CD5" w:rsidRPr="00243039" w:rsidRDefault="00D92CD5" w:rsidP="0075699C">
            <w:pPr>
              <w:pStyle w:val="StyleAfter6pt"/>
              <w:spacing w:before="120"/>
              <w:rPr>
                <w:rStyle w:val="Strong"/>
                <w:b w:val="0"/>
                <w:lang w:val="en-NZ"/>
              </w:rPr>
            </w:pPr>
            <w:r w:rsidRPr="00243039">
              <w:rPr>
                <w:rStyle w:val="Strong"/>
                <w:b w:val="0"/>
                <w:lang w:val="en-NZ"/>
              </w:rPr>
              <w:t>SPC</w:t>
            </w:r>
          </w:p>
        </w:tc>
        <w:tc>
          <w:tcPr>
            <w:tcW w:w="2214"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3</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sidRPr="00243039">
              <w:rPr>
                <w:rStyle w:val="Strong"/>
                <w:b w:val="0"/>
                <w:lang w:val="en-NZ"/>
              </w:rPr>
              <w:t>0</w:t>
            </w:r>
          </w:p>
        </w:tc>
        <w:tc>
          <w:tcPr>
            <w:tcW w:w="1857" w:type="dxa"/>
          </w:tcPr>
          <w:p w:rsidR="00D92CD5" w:rsidRPr="00243039" w:rsidRDefault="00D92CD5" w:rsidP="0075699C">
            <w:pPr>
              <w:tabs>
                <w:tab w:val="left" w:pos="1701"/>
                <w:tab w:val="left" w:pos="2127"/>
              </w:tabs>
              <w:spacing w:before="120"/>
              <w:jc w:val="right"/>
              <w:rPr>
                <w:rStyle w:val="Strong"/>
                <w:b w:val="0"/>
                <w:lang w:val="en-NZ"/>
              </w:rPr>
            </w:pPr>
          </w:p>
        </w:tc>
        <w:tc>
          <w:tcPr>
            <w:tcW w:w="2093" w:type="dxa"/>
          </w:tcPr>
          <w:p w:rsidR="00D92CD5" w:rsidRPr="00243039" w:rsidRDefault="00D92CD5" w:rsidP="0075699C">
            <w:pPr>
              <w:tabs>
                <w:tab w:val="left" w:pos="1701"/>
                <w:tab w:val="left" w:pos="2127"/>
              </w:tabs>
              <w:spacing w:before="120"/>
              <w:jc w:val="right"/>
              <w:rPr>
                <w:rStyle w:val="Strong"/>
                <w:b w:val="0"/>
                <w:lang w:val="en-NZ"/>
              </w:rPr>
            </w:pPr>
          </w:p>
        </w:tc>
      </w:tr>
      <w:tr w:rsidR="00D92CD5" w:rsidRPr="00243039" w:rsidTr="0075699C">
        <w:trPr>
          <w:cnfStyle w:val="010000000000"/>
        </w:trPr>
        <w:tc>
          <w:tcPr>
            <w:tcW w:w="1462" w:type="dxa"/>
          </w:tcPr>
          <w:p w:rsidR="00D92CD5" w:rsidRPr="00243039" w:rsidRDefault="00D92CD5" w:rsidP="0075699C">
            <w:pPr>
              <w:pStyle w:val="StyleAfter6pt"/>
              <w:spacing w:before="120"/>
              <w:rPr>
                <w:rStyle w:val="Strong"/>
                <w:b w:val="0"/>
                <w:lang w:val="en-NZ"/>
              </w:rPr>
            </w:pPr>
            <w:r>
              <w:rPr>
                <w:rStyle w:val="Strong"/>
                <w:b w:val="0"/>
                <w:lang w:val="en-NZ"/>
              </w:rPr>
              <w:t>TOTAL</w:t>
            </w:r>
          </w:p>
        </w:tc>
        <w:tc>
          <w:tcPr>
            <w:tcW w:w="2214" w:type="dxa"/>
          </w:tcPr>
          <w:p w:rsidR="00D92CD5" w:rsidRPr="00243039" w:rsidRDefault="00161D38" w:rsidP="0075699C">
            <w:pPr>
              <w:tabs>
                <w:tab w:val="left" w:pos="1701"/>
                <w:tab w:val="left" w:pos="2127"/>
              </w:tabs>
              <w:spacing w:before="120"/>
              <w:jc w:val="right"/>
              <w:rPr>
                <w:rStyle w:val="Strong"/>
                <w:b w:val="0"/>
                <w:lang w:val="en-NZ"/>
              </w:rPr>
            </w:pPr>
            <w:r>
              <w:rPr>
                <w:rStyle w:val="Strong"/>
                <w:b w:val="0"/>
                <w:lang w:val="en-NZ"/>
              </w:rPr>
              <w:fldChar w:fldCharType="begin"/>
            </w:r>
            <w:r w:rsidR="00D92CD5">
              <w:rPr>
                <w:rStyle w:val="Strong"/>
                <w:b w:val="0"/>
                <w:lang w:val="en-NZ"/>
              </w:rPr>
              <w:instrText xml:space="preserve"> =SUM(ABOVE) </w:instrText>
            </w:r>
            <w:r>
              <w:rPr>
                <w:rStyle w:val="Strong"/>
                <w:b w:val="0"/>
                <w:lang w:val="en-NZ"/>
              </w:rPr>
              <w:fldChar w:fldCharType="separate"/>
            </w:r>
            <w:r w:rsidR="00D92CD5">
              <w:rPr>
                <w:rStyle w:val="Strong"/>
                <w:b w:val="0"/>
                <w:noProof/>
                <w:lang w:val="en-NZ"/>
              </w:rPr>
              <w:t>25</w:t>
            </w:r>
            <w:r>
              <w:rPr>
                <w:rStyle w:val="Strong"/>
                <w:b w:val="0"/>
                <w:lang w:val="en-NZ"/>
              </w:rPr>
              <w:fldChar w:fldCharType="end"/>
            </w:r>
          </w:p>
        </w:tc>
        <w:tc>
          <w:tcPr>
            <w:tcW w:w="2093" w:type="dxa"/>
          </w:tcPr>
          <w:p w:rsidR="00D92CD5" w:rsidRPr="00243039" w:rsidRDefault="00161D38" w:rsidP="0075699C">
            <w:pPr>
              <w:tabs>
                <w:tab w:val="left" w:pos="1701"/>
                <w:tab w:val="left" w:pos="2127"/>
              </w:tabs>
              <w:spacing w:before="120"/>
              <w:jc w:val="right"/>
              <w:rPr>
                <w:rStyle w:val="Strong"/>
                <w:b w:val="0"/>
                <w:lang w:val="en-NZ"/>
              </w:rPr>
            </w:pPr>
            <w:r>
              <w:rPr>
                <w:rStyle w:val="Strong"/>
                <w:b w:val="0"/>
                <w:lang w:val="en-NZ"/>
              </w:rPr>
              <w:fldChar w:fldCharType="begin"/>
            </w:r>
            <w:r w:rsidR="00D92CD5">
              <w:rPr>
                <w:rStyle w:val="Strong"/>
                <w:b w:val="0"/>
                <w:lang w:val="en-NZ"/>
              </w:rPr>
              <w:instrText xml:space="preserve"> =SUM(ABOVE) </w:instrText>
            </w:r>
            <w:r>
              <w:rPr>
                <w:rStyle w:val="Strong"/>
                <w:b w:val="0"/>
                <w:lang w:val="en-NZ"/>
              </w:rPr>
              <w:fldChar w:fldCharType="separate"/>
            </w:r>
            <w:r w:rsidR="00D92CD5">
              <w:rPr>
                <w:rStyle w:val="Strong"/>
                <w:b w:val="0"/>
                <w:noProof/>
                <w:lang w:val="en-NZ"/>
              </w:rPr>
              <w:t>65</w:t>
            </w:r>
            <w:r>
              <w:rPr>
                <w:rStyle w:val="Strong"/>
                <w:b w:val="0"/>
                <w:lang w:val="en-NZ"/>
              </w:rPr>
              <w:fldChar w:fldCharType="end"/>
            </w:r>
          </w:p>
        </w:tc>
        <w:tc>
          <w:tcPr>
            <w:tcW w:w="1857"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12</w:t>
            </w:r>
          </w:p>
        </w:tc>
        <w:tc>
          <w:tcPr>
            <w:tcW w:w="2093" w:type="dxa"/>
          </w:tcPr>
          <w:p w:rsidR="00D92CD5" w:rsidRPr="00243039" w:rsidRDefault="00D92CD5" w:rsidP="0075699C">
            <w:pPr>
              <w:tabs>
                <w:tab w:val="left" w:pos="1701"/>
                <w:tab w:val="left" w:pos="2127"/>
              </w:tabs>
              <w:spacing w:before="120"/>
              <w:jc w:val="right"/>
              <w:rPr>
                <w:rStyle w:val="Strong"/>
                <w:b w:val="0"/>
                <w:lang w:val="en-NZ"/>
              </w:rPr>
            </w:pPr>
            <w:r>
              <w:rPr>
                <w:rStyle w:val="Strong"/>
                <w:b w:val="0"/>
                <w:lang w:val="en-NZ"/>
              </w:rPr>
              <w:t>11 (+1 FP)</w:t>
            </w:r>
          </w:p>
        </w:tc>
      </w:tr>
      <w:bookmarkEnd w:id="1"/>
    </w:tbl>
    <w:p w:rsidR="006464AA" w:rsidRDefault="006464AA" w:rsidP="00D92CD5">
      <w:pPr>
        <w:pStyle w:val="Heading2"/>
        <w:rPr>
          <w:rStyle w:val="Strong"/>
          <w:lang w:val="en-NZ"/>
        </w:rPr>
      </w:pPr>
    </w:p>
    <w:p w:rsidR="006464AA" w:rsidRDefault="006464AA" w:rsidP="006464AA">
      <w:pPr>
        <w:rPr>
          <w:rStyle w:val="Strong"/>
          <w:rFonts w:cs="Arial"/>
          <w:b w:val="0"/>
          <w:bCs w:val="0"/>
          <w:i/>
          <w:iCs/>
          <w:sz w:val="24"/>
          <w:szCs w:val="28"/>
          <w:lang w:val="en-NZ"/>
        </w:rPr>
      </w:pPr>
      <w:r>
        <w:rPr>
          <w:rStyle w:val="Strong"/>
          <w:lang w:val="en-NZ"/>
        </w:rPr>
        <w:br w:type="page"/>
      </w:r>
    </w:p>
    <w:p w:rsidR="006464AA" w:rsidRDefault="006464AA" w:rsidP="00D92CD5">
      <w:pPr>
        <w:pStyle w:val="Heading2"/>
        <w:rPr>
          <w:rStyle w:val="Strong"/>
          <w:lang w:val="en-NZ"/>
        </w:rPr>
      </w:pPr>
    </w:p>
    <w:p w:rsidR="00D92CD5" w:rsidRDefault="00D92CD5" w:rsidP="00D92CD5">
      <w:pPr>
        <w:pStyle w:val="Heading2"/>
        <w:rPr>
          <w:rStyle w:val="Strong"/>
          <w:lang w:val="en-NZ"/>
        </w:rPr>
      </w:pPr>
      <w:r>
        <w:rPr>
          <w:rStyle w:val="Strong"/>
          <w:lang w:val="en-NZ"/>
        </w:rPr>
        <w:t>Full Certification of Trainee Debriefers</w:t>
      </w:r>
    </w:p>
    <w:p w:rsidR="00D92CD5" w:rsidRDefault="00D92CD5" w:rsidP="00D92CD5">
      <w:pPr>
        <w:pStyle w:val="BodyText"/>
        <w:rPr>
          <w:lang w:val="en-NZ"/>
        </w:rPr>
      </w:pPr>
      <w:r>
        <w:rPr>
          <w:lang w:val="en-NZ"/>
        </w:rPr>
        <w:t>ROCW13 noted that many programmes noted that they have trainee debriefers who have completed their phase 2 training and are just waiting for the application of phase 3.  SPC acknowledged that this final step for those that are ready should be facilitated as soon as possible. Other programmes did not yet have certified debriefers yet aspired to become more engaged as observer providers for the region.</w:t>
      </w:r>
    </w:p>
    <w:p w:rsidR="00D92CD5" w:rsidRDefault="00D92CD5" w:rsidP="00D92CD5">
      <w:pPr>
        <w:pStyle w:val="BodyText"/>
        <w:rPr>
          <w:lang w:val="en-NZ"/>
        </w:rPr>
      </w:pPr>
      <w:r>
        <w:rPr>
          <w:lang w:val="en-NZ"/>
        </w:rPr>
        <w:t xml:space="preserve">To meet this need 6 Mentoring Attachment Workshops to mentor the trainee debriefers to certification status are planned for 2013. The trainee debriefers from the table above will be attached in the busier ports with certified debriefers to mentor them in actual debriefing situations. The proposed ports and months are Pohnpei (May), </w:t>
      </w:r>
      <w:smartTag w:uri="urn:schemas-microsoft-com:office:smarttags" w:element="country-region">
        <w:smartTag w:uri="urn:schemas-microsoft-com:office:smarttags" w:element="place">
          <w:r>
            <w:rPr>
              <w:lang w:val="en-NZ"/>
            </w:rPr>
            <w:t>Tonga</w:t>
          </w:r>
        </w:smartTag>
      </w:smartTag>
      <w:r>
        <w:rPr>
          <w:lang w:val="en-NZ"/>
        </w:rPr>
        <w:t xml:space="preserve"> (June), Majuro (July), Pago (July).</w:t>
      </w:r>
    </w:p>
    <w:p w:rsidR="00D92CD5" w:rsidRPr="00275171" w:rsidRDefault="00D92CD5" w:rsidP="00D92CD5">
      <w:pPr>
        <w:pStyle w:val="Heading1"/>
        <w:rPr>
          <w:sz w:val="22"/>
          <w:szCs w:val="22"/>
        </w:rPr>
      </w:pPr>
      <w:r w:rsidRPr="00275171">
        <w:rPr>
          <w:sz w:val="22"/>
          <w:szCs w:val="22"/>
        </w:rPr>
        <w:t>Training Trainers</w:t>
      </w:r>
    </w:p>
    <w:p w:rsidR="00D92CD5" w:rsidRDefault="00D92CD5" w:rsidP="00D92CD5">
      <w:pPr>
        <w:jc w:val="both"/>
      </w:pPr>
      <w:r>
        <w:t>The training of national trainers is on-going. However the meeting agreed that debriefer training should take a higher priority, especially as this was a proving ground for future trainers.</w:t>
      </w:r>
    </w:p>
    <w:p w:rsidR="00D92CD5" w:rsidRPr="0081423F" w:rsidRDefault="00D92CD5" w:rsidP="00D92CD5">
      <w:pPr>
        <w:pStyle w:val="Box"/>
        <w:numPr>
          <w:ilvl w:val="0"/>
          <w:numId w:val="0"/>
        </w:numPr>
        <w:rPr>
          <w:b/>
        </w:rPr>
      </w:pPr>
      <w:r w:rsidRPr="0081423F">
        <w:rPr>
          <w:b/>
        </w:rPr>
        <w:t xml:space="preserve">Recommendations: </w:t>
      </w:r>
    </w:p>
    <w:p w:rsidR="00D92CD5" w:rsidRDefault="00D92CD5" w:rsidP="00D92CD5">
      <w:pPr>
        <w:pStyle w:val="Box"/>
      </w:pPr>
      <w:r>
        <w:t>Continue to endorse</w:t>
      </w:r>
      <w:r w:rsidRPr="00CE5B68">
        <w:t xml:space="preserve"> </w:t>
      </w:r>
      <w:r>
        <w:t>the PIRFO Debriefing Training standards.</w:t>
      </w:r>
    </w:p>
    <w:p w:rsidR="00D92CD5" w:rsidRDefault="00D92CD5" w:rsidP="00D92CD5">
      <w:pPr>
        <w:pStyle w:val="Box"/>
      </w:pPr>
      <w:r>
        <w:t>Endorse the 2013 Debriefing Training schedule for two Introduction to Debriefing Workshops</w:t>
      </w:r>
    </w:p>
    <w:p w:rsidR="00D92CD5" w:rsidRDefault="00D92CD5" w:rsidP="00D92CD5">
      <w:pPr>
        <w:pStyle w:val="Box"/>
      </w:pPr>
      <w:r>
        <w:t>Endorse the regional agencies conduct the six Mentoring Debriefing Attachment Workshops .</w:t>
      </w:r>
    </w:p>
    <w:p w:rsidR="00D92CD5" w:rsidRPr="00EB479C" w:rsidRDefault="00D92CD5" w:rsidP="00D92CD5">
      <w:pPr>
        <w:pStyle w:val="Box"/>
      </w:pPr>
      <w:r>
        <w:t>Endorse the focus on debriefing in their training resources for 2013/14.</w:t>
      </w:r>
    </w:p>
    <w:p w:rsidR="00D92CD5" w:rsidRPr="009D77EA" w:rsidRDefault="00D92CD5" w:rsidP="00D92CD5">
      <w:pPr>
        <w:pStyle w:val="Heading3"/>
        <w:rPr>
          <w:lang w:val="en-NZ"/>
        </w:rPr>
      </w:pPr>
      <w:r w:rsidRPr="009D77EA">
        <w:rPr>
          <w:lang w:val="en-NZ"/>
        </w:rPr>
        <w:t>Communications to assist placement of and facilitate debriefing of observers</w:t>
      </w:r>
    </w:p>
    <w:p w:rsidR="00D92CD5" w:rsidRDefault="00D92CD5" w:rsidP="00D92CD5">
      <w:pPr>
        <w:tabs>
          <w:tab w:val="left" w:pos="1701"/>
          <w:tab w:val="left" w:pos="2127"/>
        </w:tabs>
        <w:rPr>
          <w:lang w:val="en-NZ"/>
        </w:rPr>
      </w:pPr>
      <w:r w:rsidRPr="009D77EA">
        <w:rPr>
          <w:lang w:val="en-NZ"/>
        </w:rPr>
        <w:t xml:space="preserve">Coordinators expressed need for a mechanism to ensure payments for debriefing in foreign ports.  </w:t>
      </w:r>
      <w:r>
        <w:rPr>
          <w:lang w:val="en-NZ"/>
        </w:rPr>
        <w:t>ROCW13 s</w:t>
      </w:r>
      <w:r w:rsidRPr="009D77EA">
        <w:rPr>
          <w:lang w:val="en-NZ"/>
        </w:rPr>
        <w:t xml:space="preserve">uggested that MOU between programmes </w:t>
      </w:r>
      <w:r>
        <w:rPr>
          <w:lang w:val="en-NZ"/>
        </w:rPr>
        <w:t>to provide observer debriefing for other Members to develop</w:t>
      </w:r>
      <w:r w:rsidRPr="009D77EA">
        <w:rPr>
          <w:lang w:val="en-NZ"/>
        </w:rPr>
        <w:t xml:space="preserve"> arrangements to have the debriefing paid for.</w:t>
      </w:r>
    </w:p>
    <w:p w:rsidR="00D92CD5" w:rsidRPr="0081423F" w:rsidRDefault="00D92CD5" w:rsidP="00D92CD5">
      <w:pPr>
        <w:overflowPunct w:val="0"/>
        <w:autoSpaceDE w:val="0"/>
        <w:autoSpaceDN w:val="0"/>
        <w:adjustRightInd w:val="0"/>
        <w:spacing w:before="120" w:after="0" w:line="240" w:lineRule="auto"/>
        <w:jc w:val="both"/>
        <w:textAlignment w:val="baseline"/>
        <w:rPr>
          <w:sz w:val="24"/>
          <w:szCs w:val="24"/>
        </w:rPr>
      </w:pPr>
      <w:r>
        <w:rPr>
          <w:lang w:val="en-NZ"/>
        </w:rPr>
        <w:t>The PNA Members “</w:t>
      </w:r>
      <w:r w:rsidRPr="004929EE">
        <w:rPr>
          <w:i/>
          <w:lang w:val="en-NZ"/>
        </w:rPr>
        <w:t>Memorandum of Agreement To Support Multijurisdictional Observer Activity</w:t>
      </w:r>
      <w:r>
        <w:rPr>
          <w:i/>
          <w:lang w:val="en-NZ"/>
        </w:rPr>
        <w:t>”</w:t>
      </w:r>
      <w:r>
        <w:rPr>
          <w:lang w:val="en-NZ"/>
        </w:rPr>
        <w:t xml:space="preserve"> highlights that “</w:t>
      </w:r>
      <w:r w:rsidRPr="004929EE">
        <w:rPr>
          <w:i/>
          <w:sz w:val="24"/>
          <w:szCs w:val="24"/>
        </w:rPr>
        <w:t>The costs of observer placements will be through the established national observer programme’s process</w:t>
      </w:r>
      <w:r>
        <w:rPr>
          <w:i/>
          <w:sz w:val="24"/>
          <w:szCs w:val="24"/>
        </w:rPr>
        <w:t xml:space="preserve">” </w:t>
      </w:r>
      <w:r>
        <w:rPr>
          <w:sz w:val="24"/>
          <w:szCs w:val="24"/>
        </w:rPr>
        <w:t xml:space="preserve">however most national programmes do not have an established process for efficient and timely debriefing of observers between trips in foreign ports. </w:t>
      </w:r>
    </w:p>
    <w:p w:rsidR="00D92CD5" w:rsidRPr="0081423F" w:rsidRDefault="00D92CD5" w:rsidP="00D92CD5">
      <w:pPr>
        <w:pStyle w:val="Box"/>
        <w:numPr>
          <w:ilvl w:val="0"/>
          <w:numId w:val="0"/>
        </w:numPr>
        <w:rPr>
          <w:b/>
        </w:rPr>
      </w:pPr>
      <w:r w:rsidRPr="0081423F">
        <w:rPr>
          <w:b/>
        </w:rPr>
        <w:t>Recommendation:</w:t>
      </w:r>
    </w:p>
    <w:p w:rsidR="00D92CD5" w:rsidRPr="00B919B3" w:rsidRDefault="00D92CD5" w:rsidP="00D92CD5">
      <w:pPr>
        <w:pStyle w:val="Box"/>
      </w:pPr>
      <w:r w:rsidRPr="00B919B3">
        <w:t>Members discuss whether bilateral arrangements or draft regional MOU for provision of debriefing should be drafted.</w:t>
      </w:r>
    </w:p>
    <w:p w:rsidR="006464AA" w:rsidRDefault="006464AA">
      <w:pPr>
        <w:rPr>
          <w:rFonts w:eastAsia="Times New Roman"/>
          <w:b/>
          <w:bCs/>
          <w:kern w:val="32"/>
          <w:sz w:val="24"/>
          <w:szCs w:val="32"/>
          <w:lang w:val="en-NZ"/>
        </w:rPr>
      </w:pPr>
      <w:r>
        <w:rPr>
          <w:lang w:val="en-NZ"/>
        </w:rPr>
        <w:br w:type="page"/>
      </w:r>
    </w:p>
    <w:p w:rsidR="00D92CD5" w:rsidRDefault="00D92CD5" w:rsidP="00D92CD5">
      <w:pPr>
        <w:pStyle w:val="Heading1"/>
        <w:rPr>
          <w:lang w:val="en-NZ"/>
        </w:rPr>
      </w:pPr>
      <w:r>
        <w:rPr>
          <w:lang w:val="en-NZ"/>
        </w:rPr>
        <w:t>Transhipment Observers.</w:t>
      </w:r>
    </w:p>
    <w:p w:rsidR="00D92CD5" w:rsidRPr="009D77EA" w:rsidRDefault="00D92CD5" w:rsidP="00D92CD5">
      <w:pPr>
        <w:rPr>
          <w:lang w:val="en-NZ"/>
        </w:rPr>
      </w:pPr>
      <w:r>
        <w:rPr>
          <w:lang w:val="en-NZ"/>
        </w:rPr>
        <w:t>Most</w:t>
      </w:r>
      <w:r w:rsidRPr="009D77EA">
        <w:rPr>
          <w:lang w:val="en-NZ"/>
        </w:rPr>
        <w:t xml:space="preserve"> transhipment observers</w:t>
      </w:r>
      <w:r>
        <w:rPr>
          <w:lang w:val="en-NZ"/>
        </w:rPr>
        <w:t xml:space="preserve"> are</w:t>
      </w:r>
      <w:r w:rsidRPr="009D77EA">
        <w:rPr>
          <w:lang w:val="en-NZ"/>
        </w:rPr>
        <w:t xml:space="preserve"> </w:t>
      </w:r>
      <w:r>
        <w:rPr>
          <w:lang w:val="en-NZ"/>
        </w:rPr>
        <w:t>placed by</w:t>
      </w:r>
      <w:r w:rsidRPr="009D77EA">
        <w:rPr>
          <w:lang w:val="en-NZ"/>
        </w:rPr>
        <w:t xml:space="preserve"> </w:t>
      </w:r>
      <w:smartTag w:uri="urn:schemas-microsoft-com:office:smarttags" w:element="country-region">
        <w:r w:rsidRPr="009D77EA">
          <w:rPr>
            <w:lang w:val="en-NZ"/>
          </w:rPr>
          <w:t>Kiribati</w:t>
        </w:r>
      </w:smartTag>
      <w:r w:rsidRPr="009D77EA">
        <w:rPr>
          <w:lang w:val="en-NZ"/>
        </w:rPr>
        <w:t xml:space="preserve"> and </w:t>
      </w:r>
      <w:smartTag w:uri="urn:schemas-microsoft-com:office:smarttags" w:element="country-region">
        <w:smartTag w:uri="urn:schemas-microsoft-com:office:smarttags" w:element="place">
          <w:r w:rsidRPr="009D77EA">
            <w:rPr>
              <w:lang w:val="en-NZ"/>
            </w:rPr>
            <w:t>Vanuatu</w:t>
          </w:r>
        </w:smartTag>
      </w:smartTag>
      <w:r w:rsidRPr="009D77EA">
        <w:rPr>
          <w:lang w:val="en-NZ"/>
        </w:rPr>
        <w:t xml:space="preserve"> but other countries have also been involved.  </w:t>
      </w:r>
      <w:r>
        <w:rPr>
          <w:lang w:val="en-NZ"/>
        </w:rPr>
        <w:t xml:space="preserve">There have been reliable reports of </w:t>
      </w:r>
      <w:r w:rsidRPr="009D77EA">
        <w:rPr>
          <w:lang w:val="en-NZ"/>
        </w:rPr>
        <w:t xml:space="preserve">problems with WCPFC </w:t>
      </w:r>
      <w:r>
        <w:rPr>
          <w:lang w:val="en-NZ"/>
        </w:rPr>
        <w:t xml:space="preserve">transhipment </w:t>
      </w:r>
      <w:r w:rsidRPr="009D77EA">
        <w:rPr>
          <w:lang w:val="en-NZ"/>
        </w:rPr>
        <w:t xml:space="preserve">observers being reported by IATTC </w:t>
      </w:r>
      <w:r>
        <w:rPr>
          <w:lang w:val="en-NZ"/>
        </w:rPr>
        <w:t xml:space="preserve">transhipment </w:t>
      </w:r>
      <w:r w:rsidRPr="009D77EA">
        <w:rPr>
          <w:lang w:val="en-NZ"/>
        </w:rPr>
        <w:t xml:space="preserve">observers </w:t>
      </w:r>
      <w:r>
        <w:rPr>
          <w:lang w:val="en-NZ"/>
        </w:rPr>
        <w:t>through the provider</w:t>
      </w:r>
      <w:r w:rsidRPr="009D77EA">
        <w:rPr>
          <w:lang w:val="en-NZ"/>
        </w:rPr>
        <w:t xml:space="preserve">.  </w:t>
      </w:r>
      <w:r>
        <w:rPr>
          <w:lang w:val="en-NZ"/>
        </w:rPr>
        <w:t>This</w:t>
      </w:r>
      <w:r w:rsidR="00AA1D35">
        <w:rPr>
          <w:lang w:val="en-NZ"/>
        </w:rPr>
        <w:t xml:space="preserve"> </w:t>
      </w:r>
      <w:r>
        <w:rPr>
          <w:lang w:val="en-NZ"/>
        </w:rPr>
        <w:t xml:space="preserve">is thought to be due to a lack definition of the role of a transhipment </w:t>
      </w:r>
      <w:r w:rsidR="00AA1D35">
        <w:rPr>
          <w:lang w:val="en-NZ"/>
        </w:rPr>
        <w:t>observer</w:t>
      </w:r>
      <w:r>
        <w:rPr>
          <w:lang w:val="en-NZ"/>
        </w:rPr>
        <w:t xml:space="preserve"> due to a lack of specific training and regional data collection protocols and forms. ROCW recommended the development of a PIRFO Transhipment</w:t>
      </w:r>
      <w:r w:rsidRPr="009D77EA">
        <w:rPr>
          <w:lang w:val="en-NZ"/>
        </w:rPr>
        <w:t xml:space="preserve"> training unit</w:t>
      </w:r>
      <w:r>
        <w:rPr>
          <w:lang w:val="en-NZ"/>
        </w:rPr>
        <w:t xml:space="preserve"> and forms</w:t>
      </w:r>
      <w:r w:rsidRPr="009D77EA">
        <w:rPr>
          <w:lang w:val="en-NZ"/>
        </w:rPr>
        <w:t>.</w:t>
      </w:r>
    </w:p>
    <w:p w:rsidR="00D92CD5" w:rsidRDefault="00D92CD5" w:rsidP="00D92CD5">
      <w:pPr>
        <w:tabs>
          <w:tab w:val="left" w:pos="-3686"/>
          <w:tab w:val="left" w:pos="2127"/>
        </w:tabs>
        <w:rPr>
          <w:lang w:val="en-NZ"/>
        </w:rPr>
      </w:pPr>
      <w:r>
        <w:rPr>
          <w:lang w:val="en-NZ"/>
        </w:rPr>
        <w:t xml:space="preserve">WCPFC have established minimum data standards for transhipment monitoring by observers.  </w:t>
      </w:r>
      <w:r w:rsidRPr="009D77EA">
        <w:rPr>
          <w:lang w:val="en-NZ"/>
        </w:rPr>
        <w:t>ROCW-12</w:t>
      </w:r>
      <w:r>
        <w:rPr>
          <w:lang w:val="en-NZ"/>
        </w:rPr>
        <w:t xml:space="preserve"> tasked </w:t>
      </w:r>
      <w:smartTag w:uri="urn:schemas-microsoft-com:office:smarttags" w:element="place">
        <w:smartTag w:uri="urn:schemas-microsoft-com:office:smarttags" w:element="PlaceName">
          <w:r>
            <w:rPr>
              <w:lang w:val="en-NZ"/>
            </w:rPr>
            <w:t>Cook</w:t>
          </w:r>
        </w:smartTag>
        <w:r>
          <w:rPr>
            <w:lang w:val="en-NZ"/>
          </w:rPr>
          <w:t xml:space="preserve"> </w:t>
        </w:r>
        <w:smartTag w:uri="urn:schemas-microsoft-com:office:smarttags" w:element="PlaceType">
          <w:r>
            <w:rPr>
              <w:lang w:val="en-NZ"/>
            </w:rPr>
            <w:t>Island</w:t>
          </w:r>
        </w:smartTag>
      </w:smartTag>
      <w:r>
        <w:rPr>
          <w:lang w:val="en-NZ"/>
        </w:rPr>
        <w:t xml:space="preserve"> to develop a longline transhipment workbook, which they presented to ROCW13. </w:t>
      </w:r>
      <w:r w:rsidRPr="009D77EA">
        <w:rPr>
          <w:lang w:val="en-NZ"/>
        </w:rPr>
        <w:t>The</w:t>
      </w:r>
      <w:r>
        <w:rPr>
          <w:lang w:val="en-NZ"/>
        </w:rPr>
        <w:t xml:space="preserve">se were based on WCPFC minimum data standards and their proposed regional </w:t>
      </w:r>
      <w:r w:rsidRPr="009D77EA">
        <w:rPr>
          <w:lang w:val="en-NZ"/>
        </w:rPr>
        <w:t>FC-1, FC-2 and FC-3 forms.  Recommendation was made for the transhipment workbook is looked at by the mini DCC (Data Collection Committee) to be held in the week following ROCW 13.</w:t>
      </w:r>
    </w:p>
    <w:p w:rsidR="00D92CD5" w:rsidRDefault="00D92CD5" w:rsidP="00D92CD5">
      <w:pPr>
        <w:pStyle w:val="Box"/>
        <w:numPr>
          <w:ilvl w:val="0"/>
          <w:numId w:val="0"/>
        </w:numPr>
      </w:pPr>
      <w:r w:rsidRPr="0081423F">
        <w:rPr>
          <w:b/>
        </w:rPr>
        <w:t>Recommendations</w:t>
      </w:r>
      <w:r w:rsidRPr="00CE5B68">
        <w:t xml:space="preserve">: </w:t>
      </w:r>
    </w:p>
    <w:p w:rsidR="00D92CD5" w:rsidRDefault="00D92CD5" w:rsidP="00D92CD5">
      <w:pPr>
        <w:pStyle w:val="Box"/>
      </w:pPr>
      <w:r>
        <w:t>Endorse the development of PIRFO Transhipment Observer Training and Accreditation Standards</w:t>
      </w:r>
    </w:p>
    <w:p w:rsidR="00D92CD5" w:rsidRPr="0059254D" w:rsidRDefault="00D92CD5" w:rsidP="00D92CD5">
      <w:pPr>
        <w:pStyle w:val="Box"/>
      </w:pPr>
      <w:r>
        <w:t>Endorse the development and production of Transhipment Monitoring forms and production of a workbook.</w:t>
      </w:r>
    </w:p>
    <w:p w:rsidR="00D92CD5" w:rsidRDefault="00D92CD5" w:rsidP="00D92CD5">
      <w:pPr>
        <w:pStyle w:val="Heading1"/>
        <w:rPr>
          <w:lang w:val="en-NZ"/>
        </w:rPr>
      </w:pPr>
      <w:r>
        <w:rPr>
          <w:lang w:val="en-NZ"/>
        </w:rPr>
        <w:t>Bribery/Corruption/Extortion Allegations</w:t>
      </w:r>
    </w:p>
    <w:p w:rsidR="00D92CD5" w:rsidRDefault="00D92CD5" w:rsidP="00D92CD5">
      <w:pPr>
        <w:tabs>
          <w:tab w:val="left" w:pos="1701"/>
          <w:tab w:val="left" w:pos="2127"/>
        </w:tabs>
        <w:rPr>
          <w:lang w:val="en-NZ"/>
        </w:rPr>
      </w:pPr>
      <w:r>
        <w:rPr>
          <w:lang w:val="en-NZ"/>
        </w:rPr>
        <w:t>In an Otago Times article by a purse seiner’s h</w:t>
      </w:r>
      <w:r w:rsidRPr="009D77EA">
        <w:rPr>
          <w:lang w:val="en-NZ"/>
        </w:rPr>
        <w:t>elicopter pilot question</w:t>
      </w:r>
      <w:r>
        <w:rPr>
          <w:lang w:val="en-NZ"/>
        </w:rPr>
        <w:t xml:space="preserve">ed the </w:t>
      </w:r>
      <w:r w:rsidRPr="009D77EA">
        <w:rPr>
          <w:lang w:val="en-NZ"/>
        </w:rPr>
        <w:t xml:space="preserve">integrity </w:t>
      </w:r>
      <w:r>
        <w:rPr>
          <w:lang w:val="en-NZ"/>
        </w:rPr>
        <w:t>of Pacific</w:t>
      </w:r>
      <w:r w:rsidRPr="009D77EA">
        <w:rPr>
          <w:lang w:val="en-NZ"/>
        </w:rPr>
        <w:t xml:space="preserve"> o</w:t>
      </w:r>
      <w:r>
        <w:rPr>
          <w:lang w:val="en-NZ"/>
        </w:rPr>
        <w:t>bservers, the author alleged widespread corruption and incompetence among Pacific observers.</w:t>
      </w:r>
    </w:p>
    <w:p w:rsidR="00D92CD5" w:rsidRPr="009D77EA" w:rsidRDefault="00D92CD5" w:rsidP="00D92CD5">
      <w:pPr>
        <w:rPr>
          <w:lang w:val="en-NZ"/>
        </w:rPr>
      </w:pPr>
      <w:r>
        <w:rPr>
          <w:lang w:val="en-NZ"/>
        </w:rPr>
        <w:t xml:space="preserve">The issue of corruption, in particular cases of bribery or extortion, involving observers have been alleged against and reported by observers. </w:t>
      </w:r>
      <w:r w:rsidRPr="009D77EA">
        <w:rPr>
          <w:lang w:val="en-NZ"/>
        </w:rPr>
        <w:t xml:space="preserve"> </w:t>
      </w:r>
      <w:r>
        <w:rPr>
          <w:lang w:val="en-NZ"/>
        </w:rPr>
        <w:t xml:space="preserve">The meeting proposed ways of deterring these incidents occurring including </w:t>
      </w:r>
      <w:r w:rsidRPr="009D77EA">
        <w:rPr>
          <w:lang w:val="en-NZ"/>
        </w:rPr>
        <w:t>higher salaries</w:t>
      </w:r>
      <w:r>
        <w:rPr>
          <w:lang w:val="en-NZ"/>
        </w:rPr>
        <w:t xml:space="preserve"> for observers</w:t>
      </w:r>
      <w:r w:rsidRPr="009D77EA">
        <w:rPr>
          <w:lang w:val="en-NZ"/>
        </w:rPr>
        <w:t xml:space="preserve">, </w:t>
      </w:r>
      <w:r>
        <w:rPr>
          <w:lang w:val="en-NZ"/>
        </w:rPr>
        <w:t xml:space="preserve">programmes refrain from using vessels or agents to pay </w:t>
      </w:r>
      <w:r w:rsidRPr="009D77EA">
        <w:rPr>
          <w:lang w:val="en-NZ"/>
        </w:rPr>
        <w:t>observers</w:t>
      </w:r>
      <w:r>
        <w:rPr>
          <w:lang w:val="en-NZ"/>
        </w:rPr>
        <w:t xml:space="preserve"> (advances, </w:t>
      </w:r>
      <w:proofErr w:type="spellStart"/>
      <w:r>
        <w:rPr>
          <w:lang w:val="en-NZ"/>
        </w:rPr>
        <w:t>teickets</w:t>
      </w:r>
      <w:proofErr w:type="spellEnd"/>
      <w:r>
        <w:rPr>
          <w:lang w:val="en-NZ"/>
        </w:rPr>
        <w:t xml:space="preserve"> etc)</w:t>
      </w:r>
      <w:r w:rsidRPr="009D77EA">
        <w:rPr>
          <w:lang w:val="en-NZ"/>
        </w:rPr>
        <w:t xml:space="preserve">, </w:t>
      </w:r>
      <w:r>
        <w:rPr>
          <w:lang w:val="en-NZ"/>
        </w:rPr>
        <w:t>limiting the number of</w:t>
      </w:r>
      <w:r w:rsidRPr="009D77EA">
        <w:rPr>
          <w:lang w:val="en-NZ"/>
        </w:rPr>
        <w:t xml:space="preserve"> trips on same vessel, train debriefers to look for signs of </w:t>
      </w:r>
      <w:r>
        <w:rPr>
          <w:lang w:val="en-NZ"/>
        </w:rPr>
        <w:t>unethical or illegal behaviour</w:t>
      </w:r>
      <w:r w:rsidRPr="009D77EA">
        <w:rPr>
          <w:lang w:val="en-NZ"/>
        </w:rPr>
        <w:t xml:space="preserve">, ensure that successful investigations result in severe penalties </w:t>
      </w:r>
      <w:r>
        <w:rPr>
          <w:lang w:val="en-NZ"/>
        </w:rPr>
        <w:t>that</w:t>
      </w:r>
      <w:r w:rsidRPr="009D77EA">
        <w:rPr>
          <w:lang w:val="en-NZ"/>
        </w:rPr>
        <w:t xml:space="preserve"> </w:t>
      </w:r>
      <w:r>
        <w:rPr>
          <w:lang w:val="en-NZ"/>
        </w:rPr>
        <w:t>are widely reported</w:t>
      </w:r>
      <w:r w:rsidRPr="009D77EA">
        <w:rPr>
          <w:lang w:val="en-NZ"/>
        </w:rPr>
        <w:t>.</w:t>
      </w:r>
    </w:p>
    <w:p w:rsidR="00D92CD5" w:rsidRDefault="00D92CD5" w:rsidP="00D92CD5">
      <w:pPr>
        <w:rPr>
          <w:lang w:val="en-NZ"/>
        </w:rPr>
      </w:pPr>
      <w:r>
        <w:rPr>
          <w:lang w:val="en-NZ"/>
        </w:rPr>
        <w:t xml:space="preserve"> The meeting recommended that </w:t>
      </w:r>
      <w:r w:rsidRPr="009D77EA">
        <w:rPr>
          <w:lang w:val="en-NZ"/>
        </w:rPr>
        <w:t xml:space="preserve">the </w:t>
      </w:r>
      <w:r>
        <w:rPr>
          <w:lang w:val="en-NZ"/>
        </w:rPr>
        <w:t>WCPFC ROP Technical Advisory Group (TAG)</w:t>
      </w:r>
      <w:r w:rsidRPr="009D77EA">
        <w:rPr>
          <w:lang w:val="en-NZ"/>
        </w:rPr>
        <w:t xml:space="preserve"> to produce a paper with clear recommendations </w:t>
      </w:r>
      <w:r>
        <w:rPr>
          <w:lang w:val="en-NZ"/>
        </w:rPr>
        <w:t xml:space="preserve">on operational mechanisms to </w:t>
      </w:r>
      <w:r w:rsidRPr="009D77EA">
        <w:rPr>
          <w:lang w:val="en-NZ"/>
        </w:rPr>
        <w:t>decrease incidents of</w:t>
      </w:r>
      <w:r>
        <w:rPr>
          <w:lang w:val="en-NZ"/>
        </w:rPr>
        <w:t xml:space="preserve"> corruption such as </w:t>
      </w:r>
      <w:r w:rsidRPr="009D77EA">
        <w:rPr>
          <w:lang w:val="en-NZ"/>
        </w:rPr>
        <w:t>bribery, blackmail and extortion</w:t>
      </w:r>
      <w:r>
        <w:rPr>
          <w:lang w:val="en-NZ"/>
        </w:rPr>
        <w:t>.</w:t>
      </w:r>
    </w:p>
    <w:p w:rsidR="00D92CD5" w:rsidRDefault="00D92CD5" w:rsidP="00D92CD5">
      <w:pPr>
        <w:pStyle w:val="Heading2"/>
        <w:rPr>
          <w:lang w:val="en-NZ"/>
        </w:rPr>
      </w:pPr>
      <w:r>
        <w:rPr>
          <w:lang w:val="en-NZ"/>
        </w:rPr>
        <w:t>Improvement of Remuneration of Observers</w:t>
      </w:r>
    </w:p>
    <w:p w:rsidR="00D92CD5" w:rsidRDefault="00D92CD5" w:rsidP="00D92CD5">
      <w:pPr>
        <w:rPr>
          <w:lang w:val="en-NZ"/>
        </w:rPr>
      </w:pPr>
      <w:r>
        <w:rPr>
          <w:lang w:val="en-NZ"/>
        </w:rPr>
        <w:t>To deter temptation PNG have increased their daily rate for observers with a maximum of $65/day.</w:t>
      </w:r>
    </w:p>
    <w:p w:rsidR="00D92CD5" w:rsidRDefault="00D92CD5" w:rsidP="00D92CD5">
      <w:pPr>
        <w:rPr>
          <w:lang w:val="en-NZ"/>
        </w:rPr>
      </w:pPr>
      <w:r>
        <w:rPr>
          <w:lang w:val="en-NZ"/>
        </w:rPr>
        <w:t>FFA will also increase their rates for observers by approximately 20% to $35/$45/$65 per day depending on experience and data quality. This will require an increase in the placement fees charged to vessels being supplied observer services through FFA.</w:t>
      </w:r>
    </w:p>
    <w:p w:rsidR="00D92CD5" w:rsidRDefault="00D92CD5" w:rsidP="00D92CD5">
      <w:pPr>
        <w:rPr>
          <w:lang w:val="en-NZ"/>
        </w:rPr>
      </w:pPr>
      <w:r>
        <w:rPr>
          <w:lang w:val="en-NZ"/>
        </w:rPr>
        <w:t>Some Members requested that observers are made aware of the entitlements and that they have access to their final reconciliation calculations, so they are comfortable with their remuneration.</w:t>
      </w:r>
    </w:p>
    <w:p w:rsidR="006464AA" w:rsidRDefault="006464AA">
      <w:pPr>
        <w:rPr>
          <w:rFonts w:cs="Arial"/>
          <w:b/>
          <w:bCs/>
          <w:i/>
          <w:iCs/>
          <w:sz w:val="24"/>
          <w:szCs w:val="28"/>
          <w:lang w:val="en-NZ"/>
        </w:rPr>
      </w:pPr>
      <w:r>
        <w:rPr>
          <w:lang w:val="en-NZ"/>
        </w:rPr>
        <w:br w:type="page"/>
      </w:r>
    </w:p>
    <w:p w:rsidR="00D92CD5" w:rsidRPr="009D77EA" w:rsidRDefault="00D92CD5" w:rsidP="00D92CD5">
      <w:pPr>
        <w:pStyle w:val="Heading2"/>
        <w:rPr>
          <w:lang w:val="en-NZ"/>
        </w:rPr>
      </w:pPr>
      <w:r w:rsidRPr="009D77EA">
        <w:rPr>
          <w:lang w:val="en-NZ"/>
        </w:rPr>
        <w:t>TAG (Technical Advisory Group)</w:t>
      </w:r>
    </w:p>
    <w:p w:rsidR="00D92CD5" w:rsidRDefault="00D92CD5" w:rsidP="00D92CD5">
      <w:pPr>
        <w:tabs>
          <w:tab w:val="left" w:pos="1701"/>
          <w:tab w:val="left" w:pos="2127"/>
        </w:tabs>
        <w:rPr>
          <w:lang w:val="en-NZ"/>
        </w:rPr>
      </w:pPr>
      <w:r w:rsidRPr="009D77EA">
        <w:rPr>
          <w:lang w:val="en-NZ"/>
        </w:rPr>
        <w:t xml:space="preserve">TAG was set up by the WCPFC as an operational and technical advisory group to the Commission on observer issues until March 2014.  It has no role in discussing policy but provides technical advice to observer policy makers.  </w:t>
      </w:r>
    </w:p>
    <w:p w:rsidR="00D92CD5" w:rsidRPr="009D77EA" w:rsidRDefault="00D92CD5" w:rsidP="00D92CD5">
      <w:pPr>
        <w:tabs>
          <w:tab w:val="left" w:pos="1701"/>
          <w:tab w:val="left" w:pos="2127"/>
        </w:tabs>
        <w:rPr>
          <w:lang w:val="en-NZ"/>
        </w:rPr>
      </w:pPr>
      <w:r w:rsidRPr="009D77EA">
        <w:rPr>
          <w:lang w:val="en-NZ"/>
        </w:rPr>
        <w:t xml:space="preserve">The first </w:t>
      </w:r>
      <w:r>
        <w:rPr>
          <w:lang w:val="en-NZ"/>
        </w:rPr>
        <w:t xml:space="preserve">TAG </w:t>
      </w:r>
      <w:r w:rsidRPr="009D77EA">
        <w:rPr>
          <w:lang w:val="en-NZ"/>
        </w:rPr>
        <w:t xml:space="preserve">input to the last WCPFC was disappointing with no inputs from the coastal state members, which strengthened the </w:t>
      </w:r>
      <w:r>
        <w:rPr>
          <w:lang w:val="en-NZ"/>
        </w:rPr>
        <w:t>position</w:t>
      </w:r>
      <w:r w:rsidRPr="009D77EA">
        <w:rPr>
          <w:lang w:val="en-NZ"/>
        </w:rPr>
        <w:t xml:space="preserve"> of the DWFN flag state members that did respond.</w:t>
      </w:r>
      <w:r>
        <w:rPr>
          <w:lang w:val="en-NZ"/>
        </w:rPr>
        <w:t xml:space="preserve"> </w:t>
      </w:r>
      <w:r w:rsidRPr="009D77EA">
        <w:rPr>
          <w:lang w:val="en-NZ"/>
        </w:rPr>
        <w:t>TAG includes all Observer Coordinators, including those in sub-regional organisations.</w:t>
      </w:r>
      <w:r>
        <w:rPr>
          <w:lang w:val="en-NZ"/>
        </w:rPr>
        <w:t xml:space="preserve"> </w:t>
      </w:r>
      <w:r w:rsidRPr="009D77EA">
        <w:rPr>
          <w:lang w:val="en-NZ"/>
        </w:rPr>
        <w:t>It is important that ROCW members respond to the topics circulated</w:t>
      </w:r>
      <w:r>
        <w:rPr>
          <w:lang w:val="en-NZ"/>
        </w:rPr>
        <w:t xml:space="preserve"> to ensure their interests are expressed in this advisory forum.  FFA proposed to engage directly at the technical level with members to ensure their views are expressed.</w:t>
      </w:r>
    </w:p>
    <w:p w:rsidR="00D92CD5" w:rsidRDefault="00D92CD5" w:rsidP="00D92CD5">
      <w:pPr>
        <w:rPr>
          <w:lang w:val="en-NZ"/>
        </w:rPr>
      </w:pPr>
    </w:p>
    <w:p w:rsidR="00D92CD5" w:rsidRPr="003943E6" w:rsidRDefault="00D92CD5" w:rsidP="00D92CD5">
      <w:pPr>
        <w:pStyle w:val="Box"/>
        <w:numPr>
          <w:ilvl w:val="0"/>
          <w:numId w:val="0"/>
        </w:numPr>
        <w:rPr>
          <w:b/>
        </w:rPr>
      </w:pPr>
      <w:r w:rsidRPr="003943E6">
        <w:rPr>
          <w:b/>
        </w:rPr>
        <w:t>Recommendations</w:t>
      </w:r>
    </w:p>
    <w:p w:rsidR="00D92CD5" w:rsidRDefault="00D92CD5" w:rsidP="00D92CD5">
      <w:pPr>
        <w:pStyle w:val="Box"/>
      </w:pPr>
      <w:r>
        <w:t>Endorse the participation in TAG and promotion of mechanisms that deter corrupt behaviour and the perception of corrupt behaviour by observers.</w:t>
      </w:r>
    </w:p>
    <w:p w:rsidR="00D92CD5" w:rsidRDefault="00D92CD5" w:rsidP="00D92CD5">
      <w:pPr>
        <w:pStyle w:val="Box"/>
      </w:pPr>
      <w:r w:rsidRPr="00DB25BC">
        <w:t>Endorse that FFA review programmes administration to recommend appropriate remuneration and financial administrative process for paying observers.</w:t>
      </w:r>
    </w:p>
    <w:p w:rsidR="00D92CD5" w:rsidRPr="00DB25BC" w:rsidRDefault="00D92CD5" w:rsidP="00D92CD5">
      <w:pPr>
        <w:pStyle w:val="Box"/>
      </w:pPr>
      <w:r>
        <w:t xml:space="preserve">Endorse FFA encourage Members programmes involvement in the TAG paper with recommended mechanisms to reduce the likelihood of corruption in observers. </w:t>
      </w:r>
    </w:p>
    <w:p w:rsidR="00D92CD5" w:rsidRDefault="00D92CD5" w:rsidP="00D92CD5">
      <w:pPr>
        <w:pStyle w:val="Box"/>
      </w:pPr>
      <w:r w:rsidRPr="00DB25BC">
        <w:t xml:space="preserve">Endorse the </w:t>
      </w:r>
      <w:r>
        <w:t xml:space="preserve">FFA proposed </w:t>
      </w:r>
      <w:r w:rsidRPr="00DB25BC">
        <w:t>increase in daily pay scales by observers</w:t>
      </w:r>
      <w:r>
        <w:t>.</w:t>
      </w:r>
    </w:p>
    <w:p w:rsidR="00D92CD5" w:rsidRPr="00702212" w:rsidRDefault="00D92CD5" w:rsidP="00D92CD5">
      <w:pPr>
        <w:pStyle w:val="Box"/>
      </w:pPr>
      <w:r w:rsidRPr="00702212">
        <w:t>FFA</w:t>
      </w:r>
      <w:r>
        <w:t xml:space="preserve"> provides outline of entitlements for observers on FFA trips and a statement of reconciliation calculation on request.</w:t>
      </w:r>
    </w:p>
    <w:p w:rsidR="006464AA" w:rsidRDefault="006464AA">
      <w:pPr>
        <w:rPr>
          <w:rStyle w:val="Strong"/>
          <w:rFonts w:eastAsia="Times New Roman"/>
          <w:bCs w:val="0"/>
          <w:i/>
          <w:kern w:val="32"/>
          <w:sz w:val="24"/>
          <w:szCs w:val="32"/>
          <w:lang w:val="en-NZ"/>
        </w:rPr>
      </w:pPr>
      <w:r>
        <w:rPr>
          <w:rStyle w:val="Strong"/>
          <w:b w:val="0"/>
          <w:i/>
          <w:lang w:val="en-NZ"/>
        </w:rPr>
        <w:br w:type="page"/>
      </w:r>
    </w:p>
    <w:p w:rsidR="00D92CD5" w:rsidRPr="006464AA" w:rsidRDefault="00D92CD5" w:rsidP="00D92CD5">
      <w:pPr>
        <w:pStyle w:val="Heading1"/>
        <w:rPr>
          <w:rStyle w:val="Strong"/>
          <w:b/>
          <w:i/>
          <w:lang w:val="en-NZ"/>
        </w:rPr>
      </w:pPr>
      <w:r w:rsidRPr="006464AA">
        <w:rPr>
          <w:rStyle w:val="Strong"/>
          <w:b/>
          <w:i/>
          <w:lang w:val="en-NZ"/>
        </w:rPr>
        <w:t>Observer safety equipment</w:t>
      </w:r>
    </w:p>
    <w:p w:rsidR="00D92CD5" w:rsidRPr="009D77EA" w:rsidRDefault="00D92CD5" w:rsidP="00D92CD5">
      <w:pPr>
        <w:pStyle w:val="BodyText"/>
        <w:rPr>
          <w:lang w:val="en-NZ"/>
        </w:rPr>
      </w:pPr>
      <w:r>
        <w:rPr>
          <w:lang w:val="en-NZ"/>
        </w:rPr>
        <w:t xml:space="preserve">The WCPFC audit found many programmes did not provide their observers basic safety equipment, yet it was one of the requirements for ROP authorisation in the WCPFC audits. </w:t>
      </w:r>
      <w:r w:rsidRPr="009D77EA">
        <w:rPr>
          <w:lang w:val="en-NZ"/>
        </w:rPr>
        <w:t xml:space="preserve">Some programmes audited by the WCPFC did not equip observers with safety equipment.  </w:t>
      </w:r>
      <w:r>
        <w:rPr>
          <w:lang w:val="en-NZ"/>
        </w:rPr>
        <w:t xml:space="preserve">While safety </w:t>
      </w:r>
      <w:proofErr w:type="spellStart"/>
      <w:r>
        <w:rPr>
          <w:lang w:val="en-NZ"/>
        </w:rPr>
        <w:t>gera</w:t>
      </w:r>
      <w:proofErr w:type="spellEnd"/>
      <w:r>
        <w:rPr>
          <w:lang w:val="en-NZ"/>
        </w:rPr>
        <w:t xml:space="preserve"> is generally supplied on purse seiners, this is likely to be an issue in some fleets of longliners</w:t>
      </w:r>
      <w:r w:rsidRPr="009D77EA">
        <w:rPr>
          <w:lang w:val="en-NZ"/>
        </w:rPr>
        <w:t>.</w:t>
      </w:r>
      <w:r>
        <w:rPr>
          <w:lang w:val="en-NZ"/>
        </w:rPr>
        <w:t xml:space="preserve"> The meeting agreed that th</w:t>
      </w:r>
      <w:r w:rsidRPr="009D77EA">
        <w:rPr>
          <w:lang w:val="en-NZ"/>
        </w:rPr>
        <w:t xml:space="preserve">e </w:t>
      </w:r>
      <w:r>
        <w:rPr>
          <w:lang w:val="en-NZ"/>
        </w:rPr>
        <w:t xml:space="preserve">absolute </w:t>
      </w:r>
      <w:r w:rsidRPr="009D77EA">
        <w:rPr>
          <w:lang w:val="en-NZ"/>
        </w:rPr>
        <w:t>minimum</w:t>
      </w:r>
      <w:r>
        <w:rPr>
          <w:lang w:val="en-NZ"/>
        </w:rPr>
        <w:t xml:space="preserve"> safety gear issued to an observer</w:t>
      </w:r>
      <w:r w:rsidRPr="009D77EA">
        <w:rPr>
          <w:lang w:val="en-NZ"/>
        </w:rPr>
        <w:t xml:space="preserve"> on a longliner should be a fitting life-jacket and a personal EPIRB</w:t>
      </w:r>
      <w:r>
        <w:rPr>
          <w:lang w:val="en-NZ"/>
        </w:rPr>
        <w:t xml:space="preserve"> or GPIRB</w:t>
      </w:r>
      <w:r w:rsidRPr="009D77EA">
        <w:rPr>
          <w:lang w:val="en-NZ"/>
        </w:rPr>
        <w:t>.</w:t>
      </w:r>
    </w:p>
    <w:p w:rsidR="00D92CD5" w:rsidRPr="009D77EA" w:rsidRDefault="00D92CD5" w:rsidP="00D92CD5">
      <w:pPr>
        <w:pStyle w:val="BodyText"/>
        <w:rPr>
          <w:lang w:val="en-NZ"/>
        </w:rPr>
      </w:pPr>
      <w:r w:rsidRPr="009D77EA">
        <w:rPr>
          <w:lang w:val="en-NZ"/>
        </w:rPr>
        <w:t>The Commission list for auditing recommends that equipment that should b</w:t>
      </w:r>
      <w:r w:rsidR="006464AA">
        <w:rPr>
          <w:lang w:val="en-NZ"/>
        </w:rPr>
        <w:t xml:space="preserve">e available for observers </w:t>
      </w:r>
      <w:r w:rsidRPr="009D77EA">
        <w:rPr>
          <w:lang w:val="en-NZ"/>
        </w:rPr>
        <w:t>include: camera, hand-held GPS, sunglasses or protective glasses, wet weather gear for the climate, sampling gear, callipers, workbooks, personal GPIRBs.  Equipment must be inspected maintained and updated when required.  NMFS requires observers to wear life-jackets at all times while on-deck.</w:t>
      </w:r>
    </w:p>
    <w:p w:rsidR="00D92CD5" w:rsidRPr="009D77EA" w:rsidRDefault="00D92CD5" w:rsidP="00D92CD5">
      <w:pPr>
        <w:pStyle w:val="BodyText"/>
        <w:rPr>
          <w:lang w:val="en-NZ"/>
        </w:rPr>
      </w:pPr>
      <w:r w:rsidRPr="009D77EA">
        <w:rPr>
          <w:lang w:val="en-NZ"/>
        </w:rPr>
        <w:t>The ROCW</w:t>
      </w:r>
      <w:r>
        <w:rPr>
          <w:lang w:val="en-NZ"/>
        </w:rPr>
        <w:t xml:space="preserve"> recommend</w:t>
      </w:r>
      <w:r w:rsidR="006464AA">
        <w:rPr>
          <w:lang w:val="en-NZ"/>
        </w:rPr>
        <w:t>s</w:t>
      </w:r>
      <w:r w:rsidRPr="009D77EA">
        <w:rPr>
          <w:lang w:val="en-NZ"/>
        </w:rPr>
        <w:t xml:space="preserve"> that observer safety come</w:t>
      </w:r>
      <w:r w:rsidR="006464AA">
        <w:rPr>
          <w:lang w:val="en-NZ"/>
        </w:rPr>
        <w:t>s</w:t>
      </w:r>
      <w:r w:rsidRPr="009D77EA">
        <w:rPr>
          <w:lang w:val="en-NZ"/>
        </w:rPr>
        <w:t xml:space="preserve"> before concerns about costs of safety equipment</w:t>
      </w:r>
      <w:r>
        <w:rPr>
          <w:lang w:val="en-NZ"/>
        </w:rPr>
        <w:t>.</w:t>
      </w:r>
    </w:p>
    <w:p w:rsidR="00D92CD5" w:rsidRDefault="00D92CD5" w:rsidP="00D92CD5">
      <w:pPr>
        <w:pStyle w:val="BodyText"/>
        <w:tabs>
          <w:tab w:val="left" w:pos="5280"/>
        </w:tabs>
      </w:pPr>
      <w:r w:rsidRPr="00EB479C">
        <w:t>Observer programmes should supply adequate personal safety equipment appropriate for the gear type before the observer departs on the trip.  Items may include wet weather gear, life jacket, deck boots, personal EPIRB/GPS, working gloves, hard hat, safety glasses, (Polaroid) and freezer equipment etc</w:t>
      </w:r>
      <w:r w:rsidRPr="0086629E">
        <w:t>.</w:t>
      </w:r>
    </w:p>
    <w:p w:rsidR="00D92CD5" w:rsidRDefault="00D92CD5" w:rsidP="00D92CD5">
      <w:pPr>
        <w:pStyle w:val="BodyText"/>
      </w:pPr>
      <w:r>
        <w:t xml:space="preserve">PIRFO standards demand </w:t>
      </w:r>
      <w:r w:rsidRPr="0086629E">
        <w:t xml:space="preserve">that all observers are trained to </w:t>
      </w:r>
      <w:r>
        <w:t>recognised IMO STCW standards.</w:t>
      </w:r>
    </w:p>
    <w:p w:rsidR="00D92CD5" w:rsidRDefault="00D92CD5" w:rsidP="00D92CD5">
      <w:pPr>
        <w:pStyle w:val="Box"/>
        <w:numPr>
          <w:ilvl w:val="0"/>
          <w:numId w:val="0"/>
        </w:numPr>
      </w:pPr>
      <w:r w:rsidRPr="0081423F">
        <w:rPr>
          <w:rStyle w:val="Heading3Char"/>
          <w:bCs w:val="0"/>
        </w:rPr>
        <w:t>Recommendation</w:t>
      </w:r>
      <w:r w:rsidRPr="00CE5B68">
        <w:t xml:space="preserve">: </w:t>
      </w:r>
    </w:p>
    <w:p w:rsidR="00D92CD5" w:rsidRPr="0059254D" w:rsidRDefault="00D92CD5" w:rsidP="00D92CD5">
      <w:pPr>
        <w:pStyle w:val="Box"/>
      </w:pPr>
      <w:r w:rsidRPr="0059254D">
        <w:t>Supply of safety equipment should be built into cost recovery model built into the fees charged to vessels</w:t>
      </w:r>
      <w:r>
        <w:t>.</w:t>
      </w:r>
    </w:p>
    <w:p w:rsidR="00D92CD5" w:rsidRPr="006464AA" w:rsidRDefault="00D92CD5" w:rsidP="00D92CD5">
      <w:pPr>
        <w:pStyle w:val="Heading1"/>
        <w:rPr>
          <w:rStyle w:val="Strong"/>
          <w:b/>
          <w:i/>
        </w:rPr>
      </w:pPr>
      <w:r w:rsidRPr="006464AA">
        <w:rPr>
          <w:rStyle w:val="Strong"/>
          <w:b/>
          <w:i/>
        </w:rPr>
        <w:t>Observer insurance</w:t>
      </w:r>
    </w:p>
    <w:p w:rsidR="00D92CD5" w:rsidRDefault="00D92CD5" w:rsidP="00D92CD5">
      <w:pPr>
        <w:tabs>
          <w:tab w:val="left" w:pos="1701"/>
          <w:tab w:val="left" w:pos="2127"/>
        </w:tabs>
        <w:rPr>
          <w:lang w:val="en-NZ"/>
        </w:rPr>
      </w:pPr>
      <w:r>
        <w:rPr>
          <w:lang w:val="en-NZ"/>
        </w:rPr>
        <w:t xml:space="preserve">Ensuring observers are covered by insurance is an ongoing issue at ROCW. </w:t>
      </w:r>
      <w:r w:rsidRPr="009D77EA">
        <w:rPr>
          <w:lang w:val="en-NZ"/>
        </w:rPr>
        <w:t>On purse seiners the observer is usually covered under crew insurance</w:t>
      </w:r>
      <w:r>
        <w:rPr>
          <w:lang w:val="en-NZ"/>
        </w:rPr>
        <w:t>, additional coverage is required in travelling to and from the vessel</w:t>
      </w:r>
      <w:r w:rsidRPr="009D77EA">
        <w:rPr>
          <w:lang w:val="en-NZ"/>
        </w:rPr>
        <w:t xml:space="preserve">.  On longliners there is a problem that many (particularly smaller longliners) </w:t>
      </w:r>
      <w:r>
        <w:rPr>
          <w:lang w:val="en-NZ"/>
        </w:rPr>
        <w:t>may</w:t>
      </w:r>
      <w:r w:rsidRPr="009D77EA">
        <w:rPr>
          <w:lang w:val="en-NZ"/>
        </w:rPr>
        <w:t xml:space="preserve"> not have adequate insurance coverage that can cover observers. </w:t>
      </w:r>
    </w:p>
    <w:p w:rsidR="00D92CD5" w:rsidRPr="009D77EA" w:rsidRDefault="00D92CD5" w:rsidP="00D92CD5">
      <w:pPr>
        <w:tabs>
          <w:tab w:val="left" w:pos="1701"/>
          <w:tab w:val="left" w:pos="2127"/>
        </w:tabs>
        <w:rPr>
          <w:lang w:val="en-NZ"/>
        </w:rPr>
      </w:pPr>
      <w:r w:rsidRPr="009D77EA">
        <w:rPr>
          <w:lang w:val="en-NZ"/>
        </w:rPr>
        <w:t xml:space="preserve">While obtaining insurance can be difficult </w:t>
      </w:r>
      <w:smartTag w:uri="urn:schemas-microsoft-com:office:smarttags" w:element="country-region">
        <w:smartTag w:uri="urn:schemas-microsoft-com:office:smarttags" w:element="place">
          <w:r w:rsidRPr="009D77EA">
            <w:rPr>
              <w:lang w:val="en-NZ"/>
            </w:rPr>
            <w:t>Vanuatu</w:t>
          </w:r>
        </w:smartTag>
      </w:smartTag>
      <w:r>
        <w:rPr>
          <w:lang w:val="en-NZ"/>
        </w:rPr>
        <w:t xml:space="preserve"> and PNG stated they had policies</w:t>
      </w:r>
      <w:r w:rsidRPr="009D77EA">
        <w:rPr>
          <w:lang w:val="en-NZ"/>
        </w:rPr>
        <w:t xml:space="preserve"> that cover their observers and FFA has an insurance coverage </w:t>
      </w:r>
      <w:r>
        <w:rPr>
          <w:lang w:val="en-NZ"/>
        </w:rPr>
        <w:t>for travel to and from the vessel</w:t>
      </w:r>
      <w:r w:rsidRPr="009D77EA">
        <w:rPr>
          <w:lang w:val="en-NZ"/>
        </w:rPr>
        <w:t>.</w:t>
      </w:r>
    </w:p>
    <w:p w:rsidR="00D92CD5" w:rsidRDefault="00D92CD5" w:rsidP="00D92CD5">
      <w:pPr>
        <w:tabs>
          <w:tab w:val="left" w:pos="1701"/>
          <w:tab w:val="left" w:pos="2127"/>
        </w:tabs>
        <w:rPr>
          <w:lang w:val="en-NZ"/>
        </w:rPr>
      </w:pPr>
      <w:r>
        <w:rPr>
          <w:lang w:val="en-NZ"/>
        </w:rPr>
        <w:t>The ROCW recommended that all programmes have a rigorous insurance check to ensure their observers are properly covered under each different arrangement they enter into.  Note insurance while onboard is already a requirement within the WCPFC advised vessel safety check (VSC). In considering insurance of observers, programmes must consider periods travelling to and from vessel, while on vessel and periods onshore between trips.</w:t>
      </w:r>
    </w:p>
    <w:p w:rsidR="00D92CD5" w:rsidRDefault="00D92CD5" w:rsidP="00D92CD5">
      <w:pPr>
        <w:pStyle w:val="Box"/>
        <w:numPr>
          <w:ilvl w:val="0"/>
          <w:numId w:val="0"/>
        </w:numPr>
      </w:pPr>
      <w:r w:rsidRPr="00153B33">
        <w:rPr>
          <w:rStyle w:val="Heading3Char"/>
        </w:rPr>
        <w:t>Recommendation</w:t>
      </w:r>
      <w:r w:rsidRPr="00CE5B68">
        <w:t xml:space="preserve">: </w:t>
      </w:r>
    </w:p>
    <w:p w:rsidR="00D92CD5" w:rsidRPr="0059254D" w:rsidRDefault="00D92CD5" w:rsidP="00D92CD5">
      <w:pPr>
        <w:pStyle w:val="Box"/>
      </w:pPr>
      <w:r>
        <w:t>Endorse that insurance for observers</w:t>
      </w:r>
      <w:r w:rsidRPr="0059254D">
        <w:t xml:space="preserve"> should be built into cost recovery model built into the fees charged to vessels</w:t>
      </w:r>
      <w:r>
        <w:t>.</w:t>
      </w:r>
    </w:p>
    <w:p w:rsidR="00D92CD5" w:rsidRPr="009D77EA" w:rsidRDefault="00D92CD5" w:rsidP="00D92CD5">
      <w:pPr>
        <w:pStyle w:val="Heading2"/>
        <w:rPr>
          <w:rStyle w:val="Strong"/>
          <w:lang w:val="en-NZ"/>
        </w:rPr>
      </w:pPr>
      <w:r w:rsidRPr="009D77EA">
        <w:rPr>
          <w:rStyle w:val="Strong"/>
          <w:lang w:val="en-NZ"/>
        </w:rPr>
        <w:t>Signing of indemnities</w:t>
      </w:r>
    </w:p>
    <w:p w:rsidR="00D92CD5" w:rsidRDefault="00D92CD5" w:rsidP="00D92CD5">
      <w:pPr>
        <w:tabs>
          <w:tab w:val="left" w:pos="1701"/>
          <w:tab w:val="left" w:pos="2127"/>
        </w:tabs>
        <w:rPr>
          <w:bCs/>
          <w:lang w:val="en-NZ"/>
        </w:rPr>
      </w:pPr>
      <w:r w:rsidRPr="009D77EA">
        <w:rPr>
          <w:bCs/>
          <w:lang w:val="en-NZ"/>
        </w:rPr>
        <w:t>Some vessel’s have asked observers to sign papers that release the vessel from responsibility if</w:t>
      </w:r>
      <w:r w:rsidR="006464AA">
        <w:rPr>
          <w:bCs/>
          <w:lang w:val="en-NZ"/>
        </w:rPr>
        <w:t xml:space="preserve"> the </w:t>
      </w:r>
      <w:r w:rsidRPr="009D77EA">
        <w:rPr>
          <w:bCs/>
          <w:lang w:val="en-NZ"/>
        </w:rPr>
        <w:t xml:space="preserve">observer </w:t>
      </w:r>
      <w:r w:rsidR="006464AA">
        <w:rPr>
          <w:bCs/>
          <w:lang w:val="en-NZ"/>
        </w:rPr>
        <w:t xml:space="preserve">suffers </w:t>
      </w:r>
      <w:r>
        <w:rPr>
          <w:bCs/>
          <w:lang w:val="en-NZ"/>
        </w:rPr>
        <w:t>injury or otherwise</w:t>
      </w:r>
      <w:r w:rsidR="006464AA">
        <w:rPr>
          <w:bCs/>
          <w:lang w:val="en-NZ"/>
        </w:rPr>
        <w:t xml:space="preserve">.  </w:t>
      </w:r>
      <w:r>
        <w:rPr>
          <w:bCs/>
          <w:lang w:val="en-NZ"/>
        </w:rPr>
        <w:t xml:space="preserve">Captains  </w:t>
      </w:r>
      <w:r w:rsidRPr="009D77EA">
        <w:rPr>
          <w:bCs/>
          <w:lang w:val="en-NZ"/>
        </w:rPr>
        <w:t xml:space="preserve">have </w:t>
      </w:r>
      <w:r w:rsidR="006464AA">
        <w:rPr>
          <w:bCs/>
          <w:lang w:val="en-NZ"/>
        </w:rPr>
        <w:t xml:space="preserve">also </w:t>
      </w:r>
      <w:r w:rsidRPr="009D77EA">
        <w:rPr>
          <w:bCs/>
          <w:lang w:val="en-NZ"/>
        </w:rPr>
        <w:t xml:space="preserve">asked observers to sign documents to take responsibility for actions by the observer that result in perceived damage to vessel or vessel company.  </w:t>
      </w:r>
    </w:p>
    <w:p w:rsidR="006464AA" w:rsidRDefault="006464AA" w:rsidP="006464AA">
      <w:pPr>
        <w:pStyle w:val="Box"/>
        <w:numPr>
          <w:ilvl w:val="0"/>
          <w:numId w:val="0"/>
        </w:numPr>
      </w:pPr>
      <w:r w:rsidRPr="00153B33">
        <w:rPr>
          <w:rStyle w:val="Heading3Char"/>
        </w:rPr>
        <w:t>Recommendation</w:t>
      </w:r>
      <w:r w:rsidRPr="00CE5B68">
        <w:t xml:space="preserve">: </w:t>
      </w:r>
    </w:p>
    <w:p w:rsidR="006464AA" w:rsidRPr="006464AA" w:rsidRDefault="006464AA" w:rsidP="006464AA">
      <w:pPr>
        <w:pStyle w:val="Box"/>
        <w:rPr>
          <w:lang w:val="en-NZ"/>
        </w:rPr>
      </w:pPr>
      <w:r>
        <w:rPr>
          <w:lang w:val="en-NZ"/>
        </w:rPr>
        <w:t>The ROCW recommended that o</w:t>
      </w:r>
      <w:r w:rsidRPr="009D77EA">
        <w:rPr>
          <w:lang w:val="en-NZ"/>
        </w:rPr>
        <w:t>bservers must not sign any</w:t>
      </w:r>
      <w:r>
        <w:rPr>
          <w:lang w:val="en-NZ"/>
        </w:rPr>
        <w:t xml:space="preserve"> non-approved documentation presented by the vessel or vessel company.</w:t>
      </w:r>
      <w:r w:rsidRPr="009D77EA">
        <w:rPr>
          <w:lang w:val="en-NZ"/>
        </w:rPr>
        <w:t xml:space="preserve">  </w:t>
      </w:r>
    </w:p>
    <w:p w:rsidR="00D92CD5" w:rsidRPr="00CE5B68" w:rsidRDefault="00D92CD5" w:rsidP="00D92CD5">
      <w:pPr>
        <w:pStyle w:val="Heading1"/>
      </w:pPr>
      <w:r w:rsidRPr="00CE5B68">
        <w:t xml:space="preserve">Pago </w:t>
      </w:r>
      <w:proofErr w:type="spellStart"/>
      <w:r>
        <w:t>Pago</w:t>
      </w:r>
      <w:proofErr w:type="spellEnd"/>
      <w:r>
        <w:t xml:space="preserve"> </w:t>
      </w:r>
      <w:r w:rsidRPr="00CE5B68">
        <w:t>subregional office</w:t>
      </w:r>
    </w:p>
    <w:p w:rsidR="00D92CD5" w:rsidRPr="00C160E9" w:rsidRDefault="00D92CD5" w:rsidP="00D92CD5">
      <w:pPr>
        <w:pStyle w:val="BodyText"/>
      </w:pPr>
      <w:r>
        <w:t xml:space="preserve">The </w:t>
      </w:r>
      <w:r w:rsidRPr="00CC570E">
        <w:t xml:space="preserve">Cook Islands </w:t>
      </w:r>
      <w:r>
        <w:t xml:space="preserve">have been working to establish an office in </w:t>
      </w:r>
      <w:smartTag w:uri="urn:schemas-microsoft-com:office:smarttags" w:element="City">
        <w:smartTag w:uri="urn:schemas-microsoft-com:office:smarttags" w:element="place">
          <w:r>
            <w:t>Pago Pago</w:t>
          </w:r>
        </w:smartTag>
      </w:smartTag>
      <w:r>
        <w:t xml:space="preserve"> to better meet their monitoring obligations to their flagged and licensed vessels. A </w:t>
      </w:r>
      <w:r w:rsidRPr="00C160E9">
        <w:t xml:space="preserve">Memorandum of Understanding on Mutual Cooperation in Fisheries Management Development and Conservation </w:t>
      </w:r>
      <w:r>
        <w:t xml:space="preserve">was </w:t>
      </w:r>
      <w:r w:rsidRPr="00C160E9">
        <w:t xml:space="preserve">signed on 31 August 2012 by the Governments of American Samoa and the </w:t>
      </w:r>
      <w:smartTag w:uri="urn:schemas-microsoft-com:office:smarttags" w:element="place">
        <w:r w:rsidRPr="00C160E9">
          <w:t>Cook Islan</w:t>
        </w:r>
        <w:r>
          <w:t>ds</w:t>
        </w:r>
      </w:smartTag>
      <w:r>
        <w:t>.</w:t>
      </w:r>
      <w:r w:rsidRPr="00CC570E">
        <w:t xml:space="preserve"> </w:t>
      </w:r>
      <w:r w:rsidRPr="00C160E9">
        <w:t xml:space="preserve">Since the signing of the MOU, other </w:t>
      </w:r>
      <w:r>
        <w:t>Members</w:t>
      </w:r>
      <w:r w:rsidRPr="00C160E9">
        <w:t xml:space="preserve"> as well as the regional fisheries agencies, have expressed interest in participating in the initiative. In addition the Western Pacific Fisheries Council has made a commitment to support the Office. Th</w:t>
      </w:r>
      <w:r>
        <w:t xml:space="preserve">is has </w:t>
      </w:r>
      <w:proofErr w:type="spellStart"/>
      <w:r>
        <w:t>effected</w:t>
      </w:r>
      <w:proofErr w:type="spellEnd"/>
      <w:r>
        <w:t xml:space="preserve"> the</w:t>
      </w:r>
      <w:r w:rsidRPr="00C160E9">
        <w:t xml:space="preserve"> broadening of the initiative from supporting the needs of the </w:t>
      </w:r>
      <w:smartTag w:uri="urn:schemas-microsoft-com:office:smarttags" w:element="place">
        <w:r w:rsidRPr="00C160E9">
          <w:t>Cook Islands</w:t>
        </w:r>
      </w:smartTag>
      <w:r w:rsidRPr="00C160E9">
        <w:t xml:space="preserve"> to sub-regional level</w:t>
      </w:r>
      <w:r>
        <w:t>.</w:t>
      </w:r>
    </w:p>
    <w:p w:rsidR="00D92CD5" w:rsidRPr="00DE6F1E" w:rsidRDefault="00D92CD5" w:rsidP="00D92CD5">
      <w:pPr>
        <w:pStyle w:val="BodyText"/>
        <w:rPr>
          <w:i/>
          <w:sz w:val="16"/>
          <w:szCs w:val="16"/>
        </w:rPr>
      </w:pPr>
      <w:r>
        <w:t xml:space="preserve">The Cook Islands, </w:t>
      </w:r>
      <w:smartTag w:uri="urn:schemas-microsoft-com:office:smarttags" w:element="City">
        <w:r>
          <w:t>Samoa</w:t>
        </w:r>
      </w:smartTag>
      <w:r>
        <w:t xml:space="preserve">, </w:t>
      </w:r>
      <w:smartTag w:uri="urn:schemas-microsoft-com:office:smarttags" w:element="country-region">
        <w:r>
          <w:t>Tonga</w:t>
        </w:r>
      </w:smartTag>
      <w:r>
        <w:t xml:space="preserve">, </w:t>
      </w:r>
      <w:smartTag w:uri="urn:schemas-microsoft-com:office:smarttags" w:element="country-region">
        <w:r>
          <w:t>Vanuatu</w:t>
        </w:r>
      </w:smartTag>
      <w:r>
        <w:t xml:space="preserve"> and </w:t>
      </w:r>
      <w:smartTag w:uri="urn:schemas-microsoft-com:office:smarttags" w:element="place">
        <w:smartTag w:uri="urn:schemas-microsoft-com:office:smarttags" w:element="country-region">
          <w:r>
            <w:t>Fiji</w:t>
          </w:r>
        </w:smartTag>
      </w:smartTag>
      <w:r>
        <w:t xml:space="preserve"> all have observers embarking and disembarking in Pago on a regular basis and all have limited debriefing capabilities at home.  As a result their observers are inadequately debriefed.  FFA Observer programme are looking to support the initiative through paying for debriefing services as well as using donor funding for some start up costs.</w:t>
      </w:r>
    </w:p>
    <w:p w:rsidR="00D92CD5" w:rsidRDefault="00D92CD5" w:rsidP="00D92CD5">
      <w:pPr>
        <w:pStyle w:val="BodyText"/>
      </w:pPr>
      <w:r>
        <w:t>A further visit  immediately preceding this MCS16 is planned by Cook island’s officers and FFA staff with US and American Samoan authorities is planned will facilitate the establishment of such an office.</w:t>
      </w:r>
    </w:p>
    <w:p w:rsidR="00D92CD5" w:rsidRPr="00275171" w:rsidRDefault="00D92CD5" w:rsidP="00D92CD5">
      <w:pPr>
        <w:pStyle w:val="Heading3"/>
        <w:pBdr>
          <w:top w:val="single" w:sz="4" w:space="1" w:color="auto"/>
          <w:left w:val="single" w:sz="4" w:space="4" w:color="auto"/>
          <w:bottom w:val="single" w:sz="4" w:space="1" w:color="auto"/>
          <w:right w:val="single" w:sz="4" w:space="4" w:color="auto"/>
        </w:pBdr>
        <w:jc w:val="both"/>
        <w:rPr>
          <w:sz w:val="22"/>
          <w:szCs w:val="22"/>
        </w:rPr>
      </w:pPr>
      <w:r w:rsidRPr="00275171">
        <w:rPr>
          <w:sz w:val="22"/>
          <w:szCs w:val="22"/>
        </w:rPr>
        <w:t>Recommendation:</w:t>
      </w:r>
    </w:p>
    <w:p w:rsidR="00D92CD5" w:rsidRPr="00275171" w:rsidRDefault="00D92CD5" w:rsidP="00D92CD5">
      <w:pPr>
        <w:pStyle w:val="Box"/>
      </w:pPr>
      <w:r>
        <w:t xml:space="preserve">Endorse that </w:t>
      </w:r>
      <w:r w:rsidRPr="00275171">
        <w:t>FFA support establish</w:t>
      </w:r>
      <w:r>
        <w:t>ing</w:t>
      </w:r>
      <w:r w:rsidRPr="00275171">
        <w:t xml:space="preserve"> an observer support office in </w:t>
      </w:r>
      <w:smartTag w:uri="urn:schemas-microsoft-com:office:smarttags" w:element="place">
        <w:smartTag w:uri="urn:schemas-microsoft-com:office:smarttags" w:element="City">
          <w:r w:rsidRPr="00275171">
            <w:t>Pago</w:t>
          </w:r>
          <w:r>
            <w:t xml:space="preserve"> Pago</w:t>
          </w:r>
        </w:smartTag>
        <w:r>
          <w:t xml:space="preserve">, </w:t>
        </w:r>
        <w:smartTag w:uri="urn:schemas-microsoft-com:office:smarttags" w:element="State">
          <w:r>
            <w:t>American Samoa</w:t>
          </w:r>
        </w:smartTag>
      </w:smartTag>
    </w:p>
    <w:p w:rsidR="00AA1D35" w:rsidRDefault="00AA1D35" w:rsidP="00D92CD5">
      <w:pPr>
        <w:pStyle w:val="Heading2"/>
      </w:pPr>
    </w:p>
    <w:p w:rsidR="00D92CD5" w:rsidRPr="00CE5B68" w:rsidRDefault="00D92CD5" w:rsidP="00D92CD5">
      <w:pPr>
        <w:pStyle w:val="Heading2"/>
      </w:pPr>
      <w:r w:rsidRPr="00CE5B68">
        <w:t>Observer Database Tools</w:t>
      </w:r>
      <w:r>
        <w:t>/E- reporting</w:t>
      </w:r>
    </w:p>
    <w:p w:rsidR="00D92CD5" w:rsidRPr="00CE5B68" w:rsidRDefault="00D92CD5" w:rsidP="00D92CD5">
      <w:pPr>
        <w:keepNext/>
        <w:keepLines/>
        <w:tabs>
          <w:tab w:val="left" w:pos="770"/>
          <w:tab w:val="left" w:pos="1701"/>
          <w:tab w:val="left" w:pos="2127"/>
        </w:tabs>
      </w:pPr>
      <w:r>
        <w:t>24.</w:t>
      </w:r>
      <w:r>
        <w:tab/>
        <w:t xml:space="preserve">Both SPC and FFA are developing </w:t>
      </w:r>
      <w:r w:rsidRPr="00CE5B68">
        <w:t>different</w:t>
      </w:r>
      <w:r>
        <w:t xml:space="preserve"> observer database tools:</w:t>
      </w:r>
    </w:p>
    <w:p w:rsidR="00D92CD5" w:rsidRPr="00CE5B68" w:rsidRDefault="00D92CD5" w:rsidP="00AA1D35">
      <w:pPr>
        <w:numPr>
          <w:ilvl w:val="0"/>
          <w:numId w:val="1"/>
        </w:numPr>
        <w:tabs>
          <w:tab w:val="left" w:pos="567"/>
          <w:tab w:val="left" w:pos="1985"/>
        </w:tabs>
        <w:spacing w:after="0"/>
      </w:pPr>
      <w:r w:rsidRPr="00CE5B68">
        <w:t>TUBS</w:t>
      </w:r>
      <w:r>
        <w:t>:</w:t>
      </w:r>
      <w:r>
        <w:tab/>
      </w:r>
      <w:r>
        <w:tab/>
      </w:r>
      <w:r>
        <w:tab/>
        <w:t>F</w:t>
      </w:r>
      <w:r w:rsidRPr="00CE5B68">
        <w:t>or data the observer collects (has data entry capability)</w:t>
      </w:r>
    </w:p>
    <w:p w:rsidR="00D92CD5" w:rsidRPr="00CE5B68" w:rsidRDefault="00D92CD5" w:rsidP="00AA1D35">
      <w:pPr>
        <w:numPr>
          <w:ilvl w:val="0"/>
          <w:numId w:val="1"/>
        </w:numPr>
        <w:tabs>
          <w:tab w:val="left" w:pos="567"/>
          <w:tab w:val="left" w:pos="1985"/>
        </w:tabs>
        <w:spacing w:after="0"/>
      </w:pPr>
      <w:r w:rsidRPr="00CE5B68">
        <w:t>TUBS Viewer</w:t>
      </w:r>
      <w:r>
        <w:t>:</w:t>
      </w:r>
      <w:r>
        <w:tab/>
        <w:t>A</w:t>
      </w:r>
      <w:r w:rsidRPr="00CE5B68">
        <w:t xml:space="preserve"> reporting module that provides access to data that observers collect (in TUBS) but lacks data-entry capability (read only)</w:t>
      </w:r>
    </w:p>
    <w:p w:rsidR="00D92CD5" w:rsidRPr="00CE5B68" w:rsidRDefault="00D92CD5" w:rsidP="00AA1D35">
      <w:pPr>
        <w:numPr>
          <w:ilvl w:val="0"/>
          <w:numId w:val="1"/>
        </w:numPr>
        <w:tabs>
          <w:tab w:val="left" w:pos="0"/>
          <w:tab w:val="left" w:pos="567"/>
          <w:tab w:val="left" w:pos="1985"/>
        </w:tabs>
        <w:spacing w:after="0"/>
      </w:pPr>
      <w:r w:rsidRPr="00CE5B68">
        <w:t>ODDS</w:t>
      </w:r>
      <w:r>
        <w:t>:</w:t>
      </w:r>
      <w:r>
        <w:tab/>
      </w:r>
      <w:r>
        <w:tab/>
      </w:r>
      <w:r>
        <w:tab/>
        <w:t>F</w:t>
      </w:r>
      <w:r w:rsidRPr="00CE5B68">
        <w:t>or data related to the management of debriefing and the assessments derived from debriefing</w:t>
      </w:r>
    </w:p>
    <w:p w:rsidR="00D92CD5" w:rsidRPr="00CE5B68" w:rsidRDefault="00D92CD5" w:rsidP="00AA1D35">
      <w:pPr>
        <w:numPr>
          <w:ilvl w:val="0"/>
          <w:numId w:val="1"/>
        </w:numPr>
        <w:tabs>
          <w:tab w:val="left" w:pos="567"/>
          <w:tab w:val="left" w:pos="1985"/>
        </w:tabs>
        <w:spacing w:after="0"/>
        <w:jc w:val="both"/>
      </w:pPr>
      <w:r>
        <w:t>Observer Programme Manager (OPM):</w:t>
      </w:r>
      <w:r>
        <w:tab/>
        <w:t>F</w:t>
      </w:r>
      <w:r w:rsidRPr="00CE5B68">
        <w:t>or data related to the management and administration of observers</w:t>
      </w:r>
    </w:p>
    <w:p w:rsidR="00D92CD5" w:rsidRDefault="00D92CD5" w:rsidP="00AA1D35">
      <w:pPr>
        <w:numPr>
          <w:ilvl w:val="0"/>
          <w:numId w:val="1"/>
        </w:numPr>
        <w:tabs>
          <w:tab w:val="left" w:pos="567"/>
          <w:tab w:val="left" w:pos="1985"/>
        </w:tabs>
        <w:spacing w:after="0"/>
        <w:jc w:val="both"/>
      </w:pPr>
      <w:r w:rsidRPr="00CE5B68">
        <w:t>SLOPS</w:t>
      </w:r>
      <w:r>
        <w:t>:</w:t>
      </w:r>
      <w:r>
        <w:tab/>
      </w:r>
      <w:r>
        <w:tab/>
      </w:r>
      <w:r>
        <w:tab/>
        <w:t>A</w:t>
      </w:r>
      <w:r w:rsidRPr="00CE5B68">
        <w:t xml:space="preserve"> programme that facilitates and tracks the scanning and dissemination of observer data </w:t>
      </w:r>
    </w:p>
    <w:p w:rsidR="00D92CD5" w:rsidRDefault="00D92CD5" w:rsidP="00AA1D35">
      <w:pPr>
        <w:numPr>
          <w:ilvl w:val="0"/>
          <w:numId w:val="1"/>
        </w:numPr>
        <w:tabs>
          <w:tab w:val="left" w:pos="567"/>
          <w:tab w:val="left" w:pos="1985"/>
        </w:tabs>
        <w:spacing w:after="0"/>
        <w:jc w:val="both"/>
      </w:pPr>
      <w:r>
        <w:t>Voice recognition software for deck sampling and measuring of fish.</w:t>
      </w:r>
    </w:p>
    <w:p w:rsidR="006464AA" w:rsidRDefault="006464AA" w:rsidP="00D92CD5">
      <w:pPr>
        <w:pStyle w:val="BodyText"/>
      </w:pPr>
    </w:p>
    <w:p w:rsidR="00D92CD5" w:rsidRDefault="00D92CD5" w:rsidP="00D92CD5">
      <w:pPr>
        <w:pStyle w:val="BodyText"/>
      </w:pPr>
      <w:r>
        <w:t xml:space="preserve">TUBS has been trialled by an observer on board the vessel using a laptop, it was found to be twice as much work.  FFA with support from NFD are trialling androids for e-logsheets and </w:t>
      </w:r>
      <w:proofErr w:type="spellStart"/>
      <w:r>
        <w:t>Delorm</w:t>
      </w:r>
      <w:proofErr w:type="spellEnd"/>
      <w:r>
        <w:t>-Android tablets with observers. PNG NFA are trialling e-reporting including for port sampling. WCPFC had trialled Osprey units with FSM observers.</w:t>
      </w:r>
    </w:p>
    <w:p w:rsidR="00D92CD5" w:rsidRDefault="00D92CD5" w:rsidP="00D92CD5">
      <w:pPr>
        <w:pStyle w:val="BodyText"/>
      </w:pPr>
      <w:r>
        <w:t xml:space="preserve">A demonstration of the </w:t>
      </w:r>
      <w:r>
        <w:rPr>
          <w:lang w:val="en-NZ"/>
        </w:rPr>
        <w:t>FFA developed OPM database was presented</w:t>
      </w:r>
      <w:r>
        <w:t xml:space="preserve">. The ROCW13 strongly endorse the roll-out of OPM to Members this year. FFA responded that it was being Beta tested in FSM and </w:t>
      </w:r>
      <w:smartTag w:uri="urn:schemas-microsoft-com:office:smarttags" w:element="country-region">
        <w:smartTag w:uri="urn:schemas-microsoft-com:office:smarttags" w:element="place">
          <w:r>
            <w:t>Fiji</w:t>
          </w:r>
        </w:smartTag>
      </w:smartTag>
      <w:r>
        <w:t xml:space="preserve"> and that funding was available to support the role-out and technical support.</w:t>
      </w:r>
    </w:p>
    <w:p w:rsidR="00D92CD5" w:rsidRDefault="00D92CD5" w:rsidP="00D92CD5">
      <w:pPr>
        <w:pStyle w:val="BodyText"/>
        <w:pBdr>
          <w:top w:val="single" w:sz="4" w:space="1" w:color="auto"/>
          <w:left w:val="single" w:sz="4" w:space="4" w:color="auto"/>
          <w:bottom w:val="single" w:sz="4" w:space="1" w:color="auto"/>
          <w:right w:val="single" w:sz="4" w:space="4" w:color="auto"/>
        </w:pBdr>
      </w:pPr>
      <w:r w:rsidRPr="00153B33">
        <w:rPr>
          <w:rStyle w:val="Heading3Char"/>
        </w:rPr>
        <w:t>Recommendation</w:t>
      </w:r>
      <w:r>
        <w:rPr>
          <w:rStyle w:val="Heading3Char"/>
        </w:rPr>
        <w:t>s</w:t>
      </w:r>
      <w:r w:rsidRPr="00CE5B68">
        <w:t xml:space="preserve">: </w:t>
      </w:r>
    </w:p>
    <w:p w:rsidR="00D92CD5" w:rsidRDefault="00D92CD5" w:rsidP="00D92CD5">
      <w:pPr>
        <w:pStyle w:val="Box"/>
      </w:pPr>
      <w:r>
        <w:t>FFA broadens the installation of OPM to Members national observer programmes.</w:t>
      </w:r>
    </w:p>
    <w:p w:rsidR="00D92CD5" w:rsidRDefault="00D92CD5" w:rsidP="00D92CD5">
      <w:pPr>
        <w:pStyle w:val="Box"/>
      </w:pPr>
      <w:r>
        <w:t>FFA broadens trials of e-reporting technology.</w:t>
      </w:r>
    </w:p>
    <w:p w:rsidR="00AA1D35" w:rsidRDefault="00AA1D35" w:rsidP="00D92CD5">
      <w:pPr>
        <w:pStyle w:val="Heading1"/>
        <w:rPr>
          <w:lang w:val="en-NZ"/>
        </w:rPr>
      </w:pPr>
    </w:p>
    <w:p w:rsidR="00D92CD5" w:rsidRPr="009D77EA" w:rsidRDefault="00D92CD5" w:rsidP="00D92CD5">
      <w:pPr>
        <w:pStyle w:val="Heading1"/>
        <w:rPr>
          <w:lang w:val="en-NZ"/>
        </w:rPr>
      </w:pPr>
      <w:r w:rsidRPr="009D77EA">
        <w:rPr>
          <w:lang w:val="en-NZ"/>
        </w:rPr>
        <w:t>WCP</w:t>
      </w:r>
      <w:r w:rsidR="00AA1D35">
        <w:rPr>
          <w:lang w:val="en-NZ"/>
        </w:rPr>
        <w:t>FC CMMs</w:t>
      </w:r>
    </w:p>
    <w:p w:rsidR="00AA1D35" w:rsidRDefault="00AA1D35" w:rsidP="00D92CD5">
      <w:pPr>
        <w:tabs>
          <w:tab w:val="left" w:pos="1701"/>
          <w:tab w:val="left" w:pos="2127"/>
        </w:tabs>
        <w:rPr>
          <w:lang w:val="en-NZ"/>
        </w:rPr>
      </w:pPr>
    </w:p>
    <w:p w:rsidR="00D92CD5" w:rsidRDefault="00D92CD5" w:rsidP="00D92CD5">
      <w:pPr>
        <w:tabs>
          <w:tab w:val="left" w:pos="1701"/>
          <w:tab w:val="left" w:pos="2127"/>
        </w:tabs>
        <w:rPr>
          <w:lang w:val="en-NZ"/>
        </w:rPr>
      </w:pPr>
      <w:r w:rsidRPr="009D77EA">
        <w:rPr>
          <w:lang w:val="en-NZ"/>
        </w:rPr>
        <w:t xml:space="preserve">Seven new CMMs were </w:t>
      </w:r>
      <w:r>
        <w:rPr>
          <w:lang w:val="en-NZ"/>
        </w:rPr>
        <w:t>established</w:t>
      </w:r>
      <w:r w:rsidRPr="009D77EA">
        <w:rPr>
          <w:lang w:val="en-NZ"/>
        </w:rPr>
        <w:t xml:space="preserve"> at the 2012 WCPFC meeting.  Fo</w:t>
      </w:r>
      <w:r>
        <w:rPr>
          <w:lang w:val="en-NZ"/>
        </w:rPr>
        <w:t>u</w:t>
      </w:r>
      <w:r w:rsidRPr="009D77EA">
        <w:rPr>
          <w:lang w:val="en-NZ"/>
        </w:rPr>
        <w:t xml:space="preserve">r of these had </w:t>
      </w:r>
      <w:r>
        <w:rPr>
          <w:lang w:val="en-NZ"/>
        </w:rPr>
        <w:t xml:space="preserve">significant </w:t>
      </w:r>
      <w:r w:rsidRPr="009D77EA">
        <w:rPr>
          <w:lang w:val="en-NZ"/>
        </w:rPr>
        <w:t>implications for observers</w:t>
      </w:r>
      <w:r>
        <w:rPr>
          <w:lang w:val="en-NZ"/>
        </w:rPr>
        <w:t xml:space="preserve">. </w:t>
      </w:r>
      <w:r w:rsidRPr="009D77EA">
        <w:rPr>
          <w:lang w:val="en-NZ"/>
        </w:rPr>
        <w:t xml:space="preserve">CMM 2012-01 replaces CMM 2008-01, </w:t>
      </w:r>
      <w:r>
        <w:rPr>
          <w:lang w:val="en-NZ"/>
        </w:rPr>
        <w:t>(Bigeye, Yellowfin and Skipjack Measure) that</w:t>
      </w:r>
      <w:r w:rsidRPr="009D77EA">
        <w:rPr>
          <w:lang w:val="en-NZ"/>
        </w:rPr>
        <w:t xml:space="preserve"> </w:t>
      </w:r>
      <w:r>
        <w:rPr>
          <w:lang w:val="en-NZ"/>
        </w:rPr>
        <w:t>established</w:t>
      </w:r>
      <w:r w:rsidRPr="009D77EA">
        <w:rPr>
          <w:lang w:val="en-NZ"/>
        </w:rPr>
        <w:t xml:space="preserve"> the 100% observer coverage on purse seiners.  The new CMM still includes 100% purse seine observer coverage and 5% observer coverage of longliners.  </w:t>
      </w:r>
      <w:r>
        <w:rPr>
          <w:lang w:val="en-NZ"/>
        </w:rPr>
        <w:t xml:space="preserve">However there are some new significant issues such as an exemption from the high seas pockets closure for Philippine ice group-seine vessels and a complicated extension to the FAD closure. </w:t>
      </w:r>
      <w:r w:rsidRPr="009D77EA">
        <w:rPr>
          <w:lang w:val="en-NZ"/>
        </w:rPr>
        <w:t>CMM 2012-03</w:t>
      </w:r>
      <w:r>
        <w:rPr>
          <w:lang w:val="en-NZ"/>
        </w:rPr>
        <w:t xml:space="preserve"> establishes</w:t>
      </w:r>
      <w:r w:rsidRPr="009D77EA">
        <w:rPr>
          <w:lang w:val="en-NZ"/>
        </w:rPr>
        <w:t xml:space="preserve"> 5%</w:t>
      </w:r>
      <w:r>
        <w:rPr>
          <w:lang w:val="en-NZ"/>
        </w:rPr>
        <w:t xml:space="preserve"> </w:t>
      </w:r>
      <w:r w:rsidRPr="009D77EA">
        <w:rPr>
          <w:lang w:val="en-NZ"/>
        </w:rPr>
        <w:t xml:space="preserve">coverage by observers sourced from ROP programmes </w:t>
      </w:r>
      <w:r>
        <w:rPr>
          <w:lang w:val="en-NZ"/>
        </w:rPr>
        <w:t>for f</w:t>
      </w:r>
      <w:r w:rsidRPr="009D77EA">
        <w:rPr>
          <w:lang w:val="en-NZ"/>
        </w:rPr>
        <w:t>resh</w:t>
      </w:r>
      <w:r>
        <w:rPr>
          <w:lang w:val="en-NZ"/>
        </w:rPr>
        <w:t xml:space="preserve"> fish longliners</w:t>
      </w:r>
      <w:r w:rsidRPr="009D77EA">
        <w:rPr>
          <w:lang w:val="en-NZ"/>
        </w:rPr>
        <w:t xml:space="preserve"> fishing north of</w:t>
      </w:r>
      <w:r>
        <w:rPr>
          <w:lang w:val="en-NZ"/>
        </w:rPr>
        <w:t xml:space="preserve"> 20 degrees north by the end of 2014. </w:t>
      </w:r>
      <w:r w:rsidRPr="009D77EA">
        <w:rPr>
          <w:lang w:val="en-NZ"/>
        </w:rPr>
        <w:t xml:space="preserve">CMM 2012-04 </w:t>
      </w:r>
      <w:r>
        <w:rPr>
          <w:lang w:val="en-NZ"/>
        </w:rPr>
        <w:t xml:space="preserve">prohibits </w:t>
      </w:r>
      <w:r w:rsidRPr="009D77EA">
        <w:rPr>
          <w:lang w:val="en-NZ"/>
        </w:rPr>
        <w:t>set</w:t>
      </w:r>
      <w:r>
        <w:rPr>
          <w:lang w:val="en-NZ"/>
        </w:rPr>
        <w:t>ting</w:t>
      </w:r>
      <w:r w:rsidRPr="009D77EA">
        <w:rPr>
          <w:lang w:val="en-NZ"/>
        </w:rPr>
        <w:t xml:space="preserve"> on whale sharks</w:t>
      </w:r>
      <w:r>
        <w:rPr>
          <w:lang w:val="en-NZ"/>
        </w:rPr>
        <w:t>, which will be monitored through observer reports. CMM20012-07 requires additional seabird mitigation data to be collected by observers</w:t>
      </w:r>
      <w:r>
        <w:t>.</w:t>
      </w:r>
    </w:p>
    <w:p w:rsidR="00D92CD5" w:rsidRPr="009D77EA" w:rsidRDefault="00D92CD5" w:rsidP="00D92CD5">
      <w:pPr>
        <w:tabs>
          <w:tab w:val="left" w:pos="1701"/>
          <w:tab w:val="left" w:pos="2127"/>
        </w:tabs>
        <w:rPr>
          <w:lang w:val="en-NZ"/>
        </w:rPr>
      </w:pPr>
      <w:r>
        <w:rPr>
          <w:lang w:val="en-NZ"/>
        </w:rPr>
        <w:t xml:space="preserve">ROCW 13 </w:t>
      </w:r>
      <w:r w:rsidRPr="009D77EA">
        <w:rPr>
          <w:lang w:val="en-NZ"/>
        </w:rPr>
        <w:t>suggest</w:t>
      </w:r>
      <w:r>
        <w:rPr>
          <w:lang w:val="en-NZ"/>
        </w:rPr>
        <w:t>ed</w:t>
      </w:r>
      <w:r w:rsidRPr="009D77EA">
        <w:rPr>
          <w:lang w:val="en-NZ"/>
        </w:rPr>
        <w:t xml:space="preserve"> was made that the WCPFC provide an up-to-date summary of issues in CMMs that affect observer activities for issue to all active observers.  </w:t>
      </w:r>
    </w:p>
    <w:p w:rsidR="00D92CD5" w:rsidRDefault="00D92CD5" w:rsidP="00D92CD5">
      <w:pPr>
        <w:tabs>
          <w:tab w:val="left" w:pos="1701"/>
          <w:tab w:val="left" w:pos="2127"/>
        </w:tabs>
        <w:rPr>
          <w:lang w:val="en-NZ"/>
        </w:rPr>
      </w:pPr>
      <w:r>
        <w:rPr>
          <w:lang w:val="en-NZ"/>
        </w:rPr>
        <w:t>At the WCPFC9 DWFNs advocated that</w:t>
      </w:r>
      <w:r w:rsidRPr="009D77EA">
        <w:rPr>
          <w:lang w:val="en-NZ"/>
        </w:rPr>
        <w:t xml:space="preserve"> observers </w:t>
      </w:r>
      <w:r>
        <w:rPr>
          <w:lang w:val="en-NZ"/>
        </w:rPr>
        <w:t xml:space="preserve">allow </w:t>
      </w:r>
      <w:r w:rsidRPr="009D77EA">
        <w:rPr>
          <w:lang w:val="en-NZ"/>
        </w:rPr>
        <w:t>Captains</w:t>
      </w:r>
      <w:r>
        <w:rPr>
          <w:lang w:val="en-NZ"/>
        </w:rPr>
        <w:t xml:space="preserve"> to review their data on board</w:t>
      </w:r>
      <w:r w:rsidRPr="009D77EA">
        <w:rPr>
          <w:lang w:val="en-NZ"/>
        </w:rPr>
        <w:t xml:space="preserve">.  </w:t>
      </w:r>
      <w:r>
        <w:rPr>
          <w:lang w:val="en-NZ"/>
        </w:rPr>
        <w:t>Thi</w:t>
      </w:r>
      <w:r w:rsidRPr="009D77EA">
        <w:rPr>
          <w:lang w:val="en-NZ"/>
        </w:rPr>
        <w:t>s</w:t>
      </w:r>
      <w:r>
        <w:rPr>
          <w:lang w:val="en-NZ"/>
        </w:rPr>
        <w:t xml:space="preserve"> is a currently contentious issue between DWFNs and FFA Members. The DWFNs criticised data submission by observer programmes preventing the management of their vessels, FFA Members citing observer safety as of the highest importance as well as data rules and the independence of the observer and his data</w:t>
      </w:r>
      <w:r w:rsidRPr="009D77EA">
        <w:rPr>
          <w:lang w:val="en-NZ"/>
        </w:rPr>
        <w:t>.  Consensus was not reached</w:t>
      </w:r>
      <w:r>
        <w:rPr>
          <w:lang w:val="en-NZ"/>
        </w:rPr>
        <w:t xml:space="preserve"> and this will be an ongoing issue for 2013</w:t>
      </w:r>
      <w:r w:rsidRPr="009D77EA">
        <w:rPr>
          <w:lang w:val="en-NZ"/>
        </w:rPr>
        <w:t>.</w:t>
      </w:r>
      <w:r>
        <w:rPr>
          <w:lang w:val="en-NZ"/>
        </w:rPr>
        <w:t xml:space="preserve"> There have also been reports of NGOs boarding vessels and demanding to view the observer data.</w:t>
      </w:r>
    </w:p>
    <w:p w:rsidR="00AA1D35" w:rsidRPr="009D77EA" w:rsidRDefault="00AA1D35" w:rsidP="00D92CD5">
      <w:pPr>
        <w:tabs>
          <w:tab w:val="left" w:pos="1701"/>
          <w:tab w:val="left" w:pos="2127"/>
        </w:tabs>
        <w:rPr>
          <w:lang w:val="en-NZ"/>
        </w:rPr>
      </w:pPr>
    </w:p>
    <w:p w:rsidR="00D92CD5" w:rsidRDefault="00D92CD5" w:rsidP="00D92CD5">
      <w:pPr>
        <w:pStyle w:val="BodyText"/>
        <w:pBdr>
          <w:top w:val="single" w:sz="4" w:space="1" w:color="auto"/>
          <w:left w:val="single" w:sz="4" w:space="4" w:color="auto"/>
          <w:bottom w:val="single" w:sz="4" w:space="1" w:color="auto"/>
          <w:right w:val="single" w:sz="4" w:space="4" w:color="auto"/>
        </w:pBdr>
      </w:pPr>
      <w:r w:rsidRPr="00153B33">
        <w:rPr>
          <w:rStyle w:val="Heading3Char"/>
        </w:rPr>
        <w:t>Recommendation</w:t>
      </w:r>
      <w:r>
        <w:rPr>
          <w:rStyle w:val="Heading3Char"/>
        </w:rPr>
        <w:t>s</w:t>
      </w:r>
      <w:r w:rsidRPr="00CE5B68">
        <w:t xml:space="preserve">: </w:t>
      </w:r>
    </w:p>
    <w:p w:rsidR="00D92CD5" w:rsidRDefault="00D92CD5" w:rsidP="00D92CD5">
      <w:pPr>
        <w:pStyle w:val="Box"/>
      </w:pPr>
      <w:r>
        <w:t>FFA request the WCPFC Secretariat provide a summary of existing CMMs and implications to observer programmes for use at the operational level and training purposes.</w:t>
      </w:r>
    </w:p>
    <w:p w:rsidR="00D92CD5" w:rsidRDefault="00D92CD5" w:rsidP="00D92CD5">
      <w:pPr>
        <w:pStyle w:val="Box"/>
      </w:pPr>
      <w:r>
        <w:t>Members endorse that observers must not show their data or reports to vessel operators, crew or non-authorised persons.</w:t>
      </w:r>
    </w:p>
    <w:p w:rsidR="00AA1D35" w:rsidRDefault="00AA1D35">
      <w:pPr>
        <w:rPr>
          <w:rFonts w:eastAsia="Times New Roman"/>
          <w:b/>
          <w:bCs/>
          <w:kern w:val="32"/>
          <w:sz w:val="24"/>
          <w:szCs w:val="32"/>
          <w:lang w:val="en-NZ"/>
        </w:rPr>
      </w:pPr>
      <w:r>
        <w:rPr>
          <w:lang w:val="en-NZ"/>
        </w:rPr>
        <w:br w:type="page"/>
      </w:r>
    </w:p>
    <w:p w:rsidR="00D92CD5" w:rsidRDefault="00D92CD5" w:rsidP="00D92CD5">
      <w:pPr>
        <w:pStyle w:val="Heading1"/>
        <w:rPr>
          <w:lang w:val="en-NZ"/>
        </w:rPr>
      </w:pPr>
      <w:r>
        <w:rPr>
          <w:lang w:val="en-NZ"/>
        </w:rPr>
        <w:t>FFA Support and Funding for National Agencies</w:t>
      </w:r>
    </w:p>
    <w:p w:rsidR="00D92CD5" w:rsidRDefault="00D92CD5" w:rsidP="00D92CD5">
      <w:pPr>
        <w:tabs>
          <w:tab w:val="left" w:pos="-3544"/>
        </w:tabs>
        <w:rPr>
          <w:lang w:val="en-NZ"/>
        </w:rPr>
      </w:pPr>
      <w:r>
        <w:rPr>
          <w:lang w:val="en-NZ"/>
        </w:rPr>
        <w:t>FFA/National Agency Country Service Level Agreements (CSLAs) are used to guide FFA in it allocation of resources including funding and staff time for support of national agencies. The current CSLAs have been developed at a high level and in many cases do not reflect current requests for support at an operational level, thus operational support is difficult to provide. Example of the disparity between operation al requests and CSLAs are: only one CSLA requests Observer training, one for observer staff training attachment and two for debriefer training and two for programme reviews. Thus justification for FFA Observer staff providing support is weakened.  Resultantly funding for support of national programmes is not being fully utilised. Operational staff are urged to make sure that their needs are considered in the development of a CSLA for their country to ensure that the assistance they want from FFA can be delivered.</w:t>
      </w:r>
    </w:p>
    <w:p w:rsidR="00D92CD5" w:rsidRDefault="00D92CD5" w:rsidP="00D92CD5">
      <w:pPr>
        <w:tabs>
          <w:tab w:val="left" w:pos="-3544"/>
        </w:tabs>
        <w:rPr>
          <w:lang w:val="en-NZ"/>
        </w:rPr>
      </w:pPr>
      <w:r w:rsidRPr="00B01585">
        <w:rPr>
          <w:lang w:val="en-NZ"/>
        </w:rPr>
        <w:t>The ROCW</w:t>
      </w:r>
      <w:r>
        <w:rPr>
          <w:lang w:val="en-NZ"/>
        </w:rPr>
        <w:t>13</w:t>
      </w:r>
      <w:r w:rsidRPr="00B01585">
        <w:rPr>
          <w:lang w:val="en-NZ"/>
        </w:rPr>
        <w:t xml:space="preserve"> recommended that operational level personnel are involved in the development of CSLAs and that they are educated and helped to ensure that observer programmes are properly serviced by FFA.</w:t>
      </w:r>
    </w:p>
    <w:p w:rsidR="00AA1D35" w:rsidRDefault="00AA1D35" w:rsidP="00D92CD5">
      <w:pPr>
        <w:tabs>
          <w:tab w:val="left" w:pos="-3544"/>
        </w:tabs>
        <w:rPr>
          <w:lang w:val="en-NZ"/>
        </w:rPr>
      </w:pPr>
    </w:p>
    <w:p w:rsidR="00D92CD5" w:rsidRDefault="00D92CD5" w:rsidP="00D92CD5">
      <w:pPr>
        <w:pStyle w:val="Heading2"/>
        <w:rPr>
          <w:lang w:val="en-NZ"/>
        </w:rPr>
      </w:pPr>
      <w:r>
        <w:rPr>
          <w:lang w:val="en-NZ"/>
        </w:rPr>
        <w:t>National Observer Programme Resources</w:t>
      </w:r>
    </w:p>
    <w:p w:rsidR="00D92CD5" w:rsidRDefault="00D92CD5" w:rsidP="00D92CD5">
      <w:pPr>
        <w:tabs>
          <w:tab w:val="left" w:pos="1701"/>
          <w:tab w:val="left" w:pos="2127"/>
        </w:tabs>
        <w:rPr>
          <w:lang w:val="en-NZ"/>
        </w:rPr>
      </w:pPr>
      <w:r>
        <w:rPr>
          <w:lang w:val="en-NZ"/>
        </w:rPr>
        <w:t xml:space="preserve">Some programmes reported that a lack of resources or funding to obtain resources was affecting their ability to operate in the delivery of observer services.  PNG and FFA indicated that their cost recovery. FFA also pointed out the </w:t>
      </w:r>
      <w:smartTag w:uri="urn:schemas-microsoft-com:office:smarttags" w:element="place">
        <w:smartTag w:uri="urn:schemas-microsoft-com:office:smarttags" w:element="country-region">
          <w:r>
            <w:rPr>
              <w:lang w:val="en-NZ"/>
            </w:rPr>
            <w:t>US</w:t>
          </w:r>
        </w:smartTag>
      </w:smartTag>
      <w:r>
        <w:rPr>
          <w:lang w:val="en-NZ"/>
        </w:rPr>
        <w:t xml:space="preserve"> national administrative funding was being under utilised by members.</w:t>
      </w:r>
    </w:p>
    <w:p w:rsidR="00D92CD5" w:rsidRDefault="00D92CD5" w:rsidP="00D92CD5">
      <w:pPr>
        <w:tabs>
          <w:tab w:val="left" w:pos="1701"/>
          <w:tab w:val="left" w:pos="2127"/>
        </w:tabs>
        <w:rPr>
          <w:lang w:val="en-NZ"/>
        </w:rPr>
      </w:pPr>
      <w:r>
        <w:rPr>
          <w:lang w:val="en-NZ"/>
        </w:rPr>
        <w:t>The MOUs for observer service provision have proven problematic in that programmes did not have dedicated observer financial systems in place. Resultantly the national programmes continued to rely on FFA to provide advances and travel costs to observers despite their having been prepaid for all placement costs in the MOU.  In addition the programmes that had entered into MOUs with FFA for observer service provision were still demanding FFA pay for debriefing, training and equipping of their observers despite these being elements of the prepaid MOUs.</w:t>
      </w:r>
    </w:p>
    <w:p w:rsidR="00D92CD5" w:rsidRDefault="00D92CD5" w:rsidP="00D92CD5">
      <w:pPr>
        <w:tabs>
          <w:tab w:val="left" w:pos="1701"/>
          <w:tab w:val="left" w:pos="2127"/>
        </w:tabs>
        <w:rPr>
          <w:lang w:val="en-NZ"/>
        </w:rPr>
      </w:pPr>
      <w:r>
        <w:rPr>
          <w:lang w:val="en-NZ"/>
        </w:rPr>
        <w:t xml:space="preserve">ROCW13 recommended </w:t>
      </w:r>
      <w:r w:rsidRPr="001F72EE">
        <w:rPr>
          <w:lang w:val="en-NZ"/>
        </w:rPr>
        <w:t>that regional agencies be asked to assist in the development of cost recovery in national programmes</w:t>
      </w:r>
      <w:r>
        <w:rPr>
          <w:lang w:val="en-NZ"/>
        </w:rPr>
        <w:t>.</w:t>
      </w:r>
    </w:p>
    <w:p w:rsidR="00AA1D35" w:rsidRDefault="00AA1D35" w:rsidP="00D92CD5">
      <w:pPr>
        <w:tabs>
          <w:tab w:val="left" w:pos="1701"/>
          <w:tab w:val="left" w:pos="2127"/>
        </w:tabs>
        <w:rPr>
          <w:lang w:val="en-NZ"/>
        </w:rPr>
      </w:pPr>
    </w:p>
    <w:p w:rsidR="00D92CD5" w:rsidRPr="0081423F" w:rsidRDefault="00D92CD5" w:rsidP="00D92CD5">
      <w:pPr>
        <w:pStyle w:val="Box"/>
        <w:numPr>
          <w:ilvl w:val="0"/>
          <w:numId w:val="0"/>
        </w:numPr>
        <w:rPr>
          <w:b/>
        </w:rPr>
      </w:pPr>
      <w:r w:rsidRPr="0081423F">
        <w:rPr>
          <w:b/>
        </w:rPr>
        <w:t>Recommendations:</w:t>
      </w:r>
    </w:p>
    <w:p w:rsidR="00D92CD5" w:rsidRDefault="00D92CD5" w:rsidP="00D92CD5">
      <w:pPr>
        <w:pStyle w:val="Box"/>
      </w:pPr>
      <w:r w:rsidRPr="00B01585">
        <w:t xml:space="preserve">FFA advises and involves national operations </w:t>
      </w:r>
      <w:r>
        <w:t xml:space="preserve">staff </w:t>
      </w:r>
      <w:r w:rsidRPr="00B01585">
        <w:t>in development of support areas for CSLAs.</w:t>
      </w:r>
    </w:p>
    <w:p w:rsidR="00D92CD5" w:rsidRDefault="00D92CD5" w:rsidP="00D92CD5">
      <w:pPr>
        <w:pStyle w:val="Box"/>
      </w:pPr>
      <w:r>
        <w:t>FFA supports development of cost recovery in national programmes.</w:t>
      </w:r>
    </w:p>
    <w:p w:rsidR="00D92CD5" w:rsidRPr="00B01585" w:rsidRDefault="00D92CD5" w:rsidP="00D92CD5">
      <w:pPr>
        <w:pStyle w:val="Box"/>
      </w:pPr>
      <w:r>
        <w:t>Discuss the structure of the MOUs for observer service provision for the US Treaty fleet.</w:t>
      </w:r>
    </w:p>
    <w:p w:rsidR="00D238A5" w:rsidRDefault="00D238A5" w:rsidP="00D92CD5"/>
    <w:sectPr w:rsidR="00D238A5" w:rsidSect="00161D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3CD5"/>
    <w:multiLevelType w:val="hybridMultilevel"/>
    <w:tmpl w:val="DFF69BBE"/>
    <w:lvl w:ilvl="0" w:tplc="3DA2BC64">
      <w:start w:val="1"/>
      <w:numFmt w:val="bullet"/>
      <w:lvlText w:val=""/>
      <w:lvlJc w:val="left"/>
      <w:pPr>
        <w:tabs>
          <w:tab w:val="num" w:pos="1080"/>
        </w:tabs>
        <w:ind w:left="1080" w:hanging="360"/>
      </w:pPr>
      <w:rPr>
        <w:rFonts w:ascii="Symbol" w:hAnsi="Symbol" w:hint="default"/>
        <w:sz w:val="24"/>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16806F38"/>
    <w:multiLevelType w:val="hybridMultilevel"/>
    <w:tmpl w:val="939AFD88"/>
    <w:lvl w:ilvl="0" w:tplc="8612EA2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BC7474B"/>
    <w:multiLevelType w:val="hybridMultilevel"/>
    <w:tmpl w:val="6016808A"/>
    <w:lvl w:ilvl="0" w:tplc="25161ADA">
      <w:start w:val="1"/>
      <w:numFmt w:val="bullet"/>
      <w:pStyle w:val="Box"/>
      <w:lvlText w:val=""/>
      <w:lvlJc w:val="left"/>
      <w:pPr>
        <w:tabs>
          <w:tab w:val="num" w:pos="170"/>
        </w:tabs>
        <w:ind w:left="170" w:hanging="170"/>
      </w:pPr>
      <w:rPr>
        <w:rFonts w:ascii="Symbol" w:hAnsi="Symbol" w:hint="default"/>
        <w:color w:val="auto"/>
      </w:rPr>
    </w:lvl>
    <w:lvl w:ilvl="1" w:tplc="108C4792">
      <w:start w:val="1"/>
      <w:numFmt w:val="decimal"/>
      <w:lvlText w:val="%2."/>
      <w:lvlJc w:val="left"/>
      <w:pPr>
        <w:tabs>
          <w:tab w:val="num" w:pos="1440"/>
        </w:tabs>
        <w:ind w:left="1440" w:hanging="360"/>
      </w:pPr>
      <w:rPr>
        <w:rFont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D92CD5"/>
    <w:rsid w:val="00003121"/>
    <w:rsid w:val="00006ECA"/>
    <w:rsid w:val="000077AD"/>
    <w:rsid w:val="00013220"/>
    <w:rsid w:val="00014B78"/>
    <w:rsid w:val="00014D02"/>
    <w:rsid w:val="00014DC7"/>
    <w:rsid w:val="00021DF8"/>
    <w:rsid w:val="000225DA"/>
    <w:rsid w:val="000226ED"/>
    <w:rsid w:val="00024AD1"/>
    <w:rsid w:val="000254F3"/>
    <w:rsid w:val="0002719B"/>
    <w:rsid w:val="000278A3"/>
    <w:rsid w:val="00027B75"/>
    <w:rsid w:val="00030BFC"/>
    <w:rsid w:val="000310B5"/>
    <w:rsid w:val="000374EF"/>
    <w:rsid w:val="000450B6"/>
    <w:rsid w:val="0004695D"/>
    <w:rsid w:val="00046F10"/>
    <w:rsid w:val="00047A12"/>
    <w:rsid w:val="00051963"/>
    <w:rsid w:val="00051F6E"/>
    <w:rsid w:val="00053D17"/>
    <w:rsid w:val="00054B01"/>
    <w:rsid w:val="00057069"/>
    <w:rsid w:val="000574DF"/>
    <w:rsid w:val="00063F90"/>
    <w:rsid w:val="000665EC"/>
    <w:rsid w:val="000702C7"/>
    <w:rsid w:val="000708B2"/>
    <w:rsid w:val="000716F9"/>
    <w:rsid w:val="000718D1"/>
    <w:rsid w:val="000734B3"/>
    <w:rsid w:val="000810E3"/>
    <w:rsid w:val="000833CD"/>
    <w:rsid w:val="00083C1F"/>
    <w:rsid w:val="00083F54"/>
    <w:rsid w:val="00091BA0"/>
    <w:rsid w:val="00093D4B"/>
    <w:rsid w:val="000A174B"/>
    <w:rsid w:val="000A34CD"/>
    <w:rsid w:val="000A7518"/>
    <w:rsid w:val="000B094D"/>
    <w:rsid w:val="000B4030"/>
    <w:rsid w:val="000B6671"/>
    <w:rsid w:val="000B77EF"/>
    <w:rsid w:val="000C1237"/>
    <w:rsid w:val="000C19D1"/>
    <w:rsid w:val="000C4672"/>
    <w:rsid w:val="000C5374"/>
    <w:rsid w:val="000C66E4"/>
    <w:rsid w:val="000C671B"/>
    <w:rsid w:val="000D3FAB"/>
    <w:rsid w:val="000D453C"/>
    <w:rsid w:val="000D456E"/>
    <w:rsid w:val="000D478A"/>
    <w:rsid w:val="000D4FE0"/>
    <w:rsid w:val="000E1951"/>
    <w:rsid w:val="000E1DF0"/>
    <w:rsid w:val="000E20EE"/>
    <w:rsid w:val="000E3748"/>
    <w:rsid w:val="000E4E5F"/>
    <w:rsid w:val="000E62DB"/>
    <w:rsid w:val="000E7DD7"/>
    <w:rsid w:val="000F0E29"/>
    <w:rsid w:val="000F10D5"/>
    <w:rsid w:val="000F2F0F"/>
    <w:rsid w:val="000F3260"/>
    <w:rsid w:val="000F5D86"/>
    <w:rsid w:val="000F7AE0"/>
    <w:rsid w:val="000F7EF8"/>
    <w:rsid w:val="00100CB4"/>
    <w:rsid w:val="00113BFD"/>
    <w:rsid w:val="00115A38"/>
    <w:rsid w:val="001179C6"/>
    <w:rsid w:val="00117F68"/>
    <w:rsid w:val="00120066"/>
    <w:rsid w:val="001244FD"/>
    <w:rsid w:val="001254D6"/>
    <w:rsid w:val="0012636E"/>
    <w:rsid w:val="00132828"/>
    <w:rsid w:val="0013473F"/>
    <w:rsid w:val="001406E9"/>
    <w:rsid w:val="001426EC"/>
    <w:rsid w:val="00142B56"/>
    <w:rsid w:val="001430C6"/>
    <w:rsid w:val="00145994"/>
    <w:rsid w:val="00146DAB"/>
    <w:rsid w:val="00152F8C"/>
    <w:rsid w:val="001540C6"/>
    <w:rsid w:val="00156BA7"/>
    <w:rsid w:val="00160815"/>
    <w:rsid w:val="00160B25"/>
    <w:rsid w:val="00161D38"/>
    <w:rsid w:val="00161FDD"/>
    <w:rsid w:val="00162E38"/>
    <w:rsid w:val="00163754"/>
    <w:rsid w:val="00166D7E"/>
    <w:rsid w:val="00170B74"/>
    <w:rsid w:val="0017138E"/>
    <w:rsid w:val="001743B2"/>
    <w:rsid w:val="00175502"/>
    <w:rsid w:val="0017624C"/>
    <w:rsid w:val="00181070"/>
    <w:rsid w:val="00181E72"/>
    <w:rsid w:val="0018280F"/>
    <w:rsid w:val="001873FE"/>
    <w:rsid w:val="00192C12"/>
    <w:rsid w:val="00196C6B"/>
    <w:rsid w:val="001A09BA"/>
    <w:rsid w:val="001A1FC9"/>
    <w:rsid w:val="001A27F2"/>
    <w:rsid w:val="001A7F6F"/>
    <w:rsid w:val="001B0135"/>
    <w:rsid w:val="001B21FF"/>
    <w:rsid w:val="001B4942"/>
    <w:rsid w:val="001B4A8B"/>
    <w:rsid w:val="001B5CD9"/>
    <w:rsid w:val="001C028D"/>
    <w:rsid w:val="001C14E7"/>
    <w:rsid w:val="001D0762"/>
    <w:rsid w:val="001D0AF3"/>
    <w:rsid w:val="001D3A83"/>
    <w:rsid w:val="001D7EEE"/>
    <w:rsid w:val="001E1C1A"/>
    <w:rsid w:val="001E1D0D"/>
    <w:rsid w:val="001E3079"/>
    <w:rsid w:val="001E39CA"/>
    <w:rsid w:val="001E5CC7"/>
    <w:rsid w:val="001E7BAF"/>
    <w:rsid w:val="001F223B"/>
    <w:rsid w:val="001F239E"/>
    <w:rsid w:val="001F395B"/>
    <w:rsid w:val="001F3A2A"/>
    <w:rsid w:val="00201A53"/>
    <w:rsid w:val="00201EBC"/>
    <w:rsid w:val="00203358"/>
    <w:rsid w:val="00207DD1"/>
    <w:rsid w:val="002113DC"/>
    <w:rsid w:val="00214AE7"/>
    <w:rsid w:val="00214DB3"/>
    <w:rsid w:val="0021612E"/>
    <w:rsid w:val="0021712B"/>
    <w:rsid w:val="002177DA"/>
    <w:rsid w:val="00221CF2"/>
    <w:rsid w:val="0022702D"/>
    <w:rsid w:val="0024062C"/>
    <w:rsid w:val="0024094D"/>
    <w:rsid w:val="00243E39"/>
    <w:rsid w:val="002453A2"/>
    <w:rsid w:val="00245DA4"/>
    <w:rsid w:val="0025030F"/>
    <w:rsid w:val="00251F93"/>
    <w:rsid w:val="0025203D"/>
    <w:rsid w:val="002521A8"/>
    <w:rsid w:val="00252A5E"/>
    <w:rsid w:val="002573B6"/>
    <w:rsid w:val="00260152"/>
    <w:rsid w:val="00261F39"/>
    <w:rsid w:val="00262EAC"/>
    <w:rsid w:val="002637EC"/>
    <w:rsid w:val="00263965"/>
    <w:rsid w:val="0026412C"/>
    <w:rsid w:val="002660B5"/>
    <w:rsid w:val="00271E61"/>
    <w:rsid w:val="00272C46"/>
    <w:rsid w:val="00274058"/>
    <w:rsid w:val="00274F6F"/>
    <w:rsid w:val="00276AD5"/>
    <w:rsid w:val="00281F06"/>
    <w:rsid w:val="00286C55"/>
    <w:rsid w:val="00291D19"/>
    <w:rsid w:val="00292EEF"/>
    <w:rsid w:val="002A2A37"/>
    <w:rsid w:val="002A3DF1"/>
    <w:rsid w:val="002A4E43"/>
    <w:rsid w:val="002A666E"/>
    <w:rsid w:val="002B0428"/>
    <w:rsid w:val="002B0750"/>
    <w:rsid w:val="002B0B50"/>
    <w:rsid w:val="002B1474"/>
    <w:rsid w:val="002B2EE7"/>
    <w:rsid w:val="002B40D9"/>
    <w:rsid w:val="002B52F4"/>
    <w:rsid w:val="002B6344"/>
    <w:rsid w:val="002B6860"/>
    <w:rsid w:val="002B7189"/>
    <w:rsid w:val="002C6EEB"/>
    <w:rsid w:val="002D0720"/>
    <w:rsid w:val="002D074E"/>
    <w:rsid w:val="002D4EC0"/>
    <w:rsid w:val="002D6FD2"/>
    <w:rsid w:val="002D72D0"/>
    <w:rsid w:val="002D7972"/>
    <w:rsid w:val="002E5F53"/>
    <w:rsid w:val="002E787C"/>
    <w:rsid w:val="002F17EE"/>
    <w:rsid w:val="002F43DE"/>
    <w:rsid w:val="002F5F53"/>
    <w:rsid w:val="0030099F"/>
    <w:rsid w:val="0030215F"/>
    <w:rsid w:val="00304D58"/>
    <w:rsid w:val="00305B04"/>
    <w:rsid w:val="003105ED"/>
    <w:rsid w:val="003116C8"/>
    <w:rsid w:val="00314945"/>
    <w:rsid w:val="00317568"/>
    <w:rsid w:val="00321BBF"/>
    <w:rsid w:val="00326145"/>
    <w:rsid w:val="00326C7F"/>
    <w:rsid w:val="00327226"/>
    <w:rsid w:val="003311AB"/>
    <w:rsid w:val="00332110"/>
    <w:rsid w:val="003325D1"/>
    <w:rsid w:val="00332C88"/>
    <w:rsid w:val="00334386"/>
    <w:rsid w:val="003353A9"/>
    <w:rsid w:val="00340BAA"/>
    <w:rsid w:val="003416B2"/>
    <w:rsid w:val="00342BCE"/>
    <w:rsid w:val="003461A3"/>
    <w:rsid w:val="003468EA"/>
    <w:rsid w:val="00346A8A"/>
    <w:rsid w:val="00351ABC"/>
    <w:rsid w:val="00351BE6"/>
    <w:rsid w:val="00353314"/>
    <w:rsid w:val="00355D3A"/>
    <w:rsid w:val="003577C9"/>
    <w:rsid w:val="0037284D"/>
    <w:rsid w:val="00376E75"/>
    <w:rsid w:val="00377C75"/>
    <w:rsid w:val="003832E6"/>
    <w:rsid w:val="003857A0"/>
    <w:rsid w:val="003902EC"/>
    <w:rsid w:val="003927C7"/>
    <w:rsid w:val="00393809"/>
    <w:rsid w:val="0039387E"/>
    <w:rsid w:val="003943F8"/>
    <w:rsid w:val="00394721"/>
    <w:rsid w:val="00396178"/>
    <w:rsid w:val="00397D00"/>
    <w:rsid w:val="003A1197"/>
    <w:rsid w:val="003A1A8D"/>
    <w:rsid w:val="003A511D"/>
    <w:rsid w:val="003B053C"/>
    <w:rsid w:val="003B07BC"/>
    <w:rsid w:val="003B08BD"/>
    <w:rsid w:val="003B694F"/>
    <w:rsid w:val="003B6F30"/>
    <w:rsid w:val="003B7547"/>
    <w:rsid w:val="003E042D"/>
    <w:rsid w:val="003E2974"/>
    <w:rsid w:val="003E6096"/>
    <w:rsid w:val="003E7E3E"/>
    <w:rsid w:val="003F190F"/>
    <w:rsid w:val="003F2239"/>
    <w:rsid w:val="003F7CDA"/>
    <w:rsid w:val="00402A01"/>
    <w:rsid w:val="004031F2"/>
    <w:rsid w:val="00403452"/>
    <w:rsid w:val="004054DA"/>
    <w:rsid w:val="0041335C"/>
    <w:rsid w:val="004149FB"/>
    <w:rsid w:val="00417EAC"/>
    <w:rsid w:val="00421CF8"/>
    <w:rsid w:val="0042273D"/>
    <w:rsid w:val="00427B45"/>
    <w:rsid w:val="00430872"/>
    <w:rsid w:val="00431E0F"/>
    <w:rsid w:val="00435D81"/>
    <w:rsid w:val="00443EA7"/>
    <w:rsid w:val="004468FD"/>
    <w:rsid w:val="0045098B"/>
    <w:rsid w:val="00451259"/>
    <w:rsid w:val="00452C91"/>
    <w:rsid w:val="004552E2"/>
    <w:rsid w:val="00457F3D"/>
    <w:rsid w:val="00457F5F"/>
    <w:rsid w:val="00461965"/>
    <w:rsid w:val="00462C88"/>
    <w:rsid w:val="00462E25"/>
    <w:rsid w:val="004641DF"/>
    <w:rsid w:val="00467811"/>
    <w:rsid w:val="004732FF"/>
    <w:rsid w:val="00474B3E"/>
    <w:rsid w:val="0047673D"/>
    <w:rsid w:val="004773F0"/>
    <w:rsid w:val="00477AA8"/>
    <w:rsid w:val="004830C3"/>
    <w:rsid w:val="00492A39"/>
    <w:rsid w:val="0049418B"/>
    <w:rsid w:val="00494358"/>
    <w:rsid w:val="004953AA"/>
    <w:rsid w:val="00495D14"/>
    <w:rsid w:val="00495EE5"/>
    <w:rsid w:val="00496D7D"/>
    <w:rsid w:val="004A045D"/>
    <w:rsid w:val="004A3E79"/>
    <w:rsid w:val="004A4007"/>
    <w:rsid w:val="004A6528"/>
    <w:rsid w:val="004A7C71"/>
    <w:rsid w:val="004A7D0F"/>
    <w:rsid w:val="004B19FF"/>
    <w:rsid w:val="004B4548"/>
    <w:rsid w:val="004B75DC"/>
    <w:rsid w:val="004B7AA0"/>
    <w:rsid w:val="004C1B1F"/>
    <w:rsid w:val="004C1BF2"/>
    <w:rsid w:val="004C5447"/>
    <w:rsid w:val="004C56FC"/>
    <w:rsid w:val="004C6707"/>
    <w:rsid w:val="004D06F2"/>
    <w:rsid w:val="004D2D5A"/>
    <w:rsid w:val="004D61AE"/>
    <w:rsid w:val="004D647E"/>
    <w:rsid w:val="004E1EAA"/>
    <w:rsid w:val="004E2E91"/>
    <w:rsid w:val="004F05A0"/>
    <w:rsid w:val="004F1840"/>
    <w:rsid w:val="004F655F"/>
    <w:rsid w:val="005004A1"/>
    <w:rsid w:val="00500C29"/>
    <w:rsid w:val="00500F48"/>
    <w:rsid w:val="00503C6D"/>
    <w:rsid w:val="0050439F"/>
    <w:rsid w:val="005045AD"/>
    <w:rsid w:val="00504E87"/>
    <w:rsid w:val="00506539"/>
    <w:rsid w:val="00520302"/>
    <w:rsid w:val="00520D9C"/>
    <w:rsid w:val="005230D4"/>
    <w:rsid w:val="00523D10"/>
    <w:rsid w:val="0052428F"/>
    <w:rsid w:val="0052562A"/>
    <w:rsid w:val="00526A35"/>
    <w:rsid w:val="005307B5"/>
    <w:rsid w:val="00530D68"/>
    <w:rsid w:val="005310FD"/>
    <w:rsid w:val="00531319"/>
    <w:rsid w:val="0053251D"/>
    <w:rsid w:val="00532576"/>
    <w:rsid w:val="0053446D"/>
    <w:rsid w:val="005354DA"/>
    <w:rsid w:val="00535941"/>
    <w:rsid w:val="00536A3D"/>
    <w:rsid w:val="00537679"/>
    <w:rsid w:val="00542315"/>
    <w:rsid w:val="0054296E"/>
    <w:rsid w:val="00543D20"/>
    <w:rsid w:val="005472BA"/>
    <w:rsid w:val="005532AC"/>
    <w:rsid w:val="00560CCE"/>
    <w:rsid w:val="005629C2"/>
    <w:rsid w:val="00566C19"/>
    <w:rsid w:val="00566D7F"/>
    <w:rsid w:val="005712D2"/>
    <w:rsid w:val="00572297"/>
    <w:rsid w:val="00573145"/>
    <w:rsid w:val="00574932"/>
    <w:rsid w:val="00576129"/>
    <w:rsid w:val="00582FC4"/>
    <w:rsid w:val="005915F4"/>
    <w:rsid w:val="005945AF"/>
    <w:rsid w:val="00597240"/>
    <w:rsid w:val="00597255"/>
    <w:rsid w:val="0059726A"/>
    <w:rsid w:val="005B1BEA"/>
    <w:rsid w:val="005B4038"/>
    <w:rsid w:val="005B69F0"/>
    <w:rsid w:val="005C0FF7"/>
    <w:rsid w:val="005D0C22"/>
    <w:rsid w:val="005D32A0"/>
    <w:rsid w:val="005D387D"/>
    <w:rsid w:val="005D4523"/>
    <w:rsid w:val="005D6D54"/>
    <w:rsid w:val="005E3BAD"/>
    <w:rsid w:val="005E64DF"/>
    <w:rsid w:val="005E6F30"/>
    <w:rsid w:val="005F440A"/>
    <w:rsid w:val="005F4BA0"/>
    <w:rsid w:val="0060749C"/>
    <w:rsid w:val="006076DD"/>
    <w:rsid w:val="00610606"/>
    <w:rsid w:val="0061106D"/>
    <w:rsid w:val="0061253B"/>
    <w:rsid w:val="0061577B"/>
    <w:rsid w:val="00622457"/>
    <w:rsid w:val="006244A9"/>
    <w:rsid w:val="00624723"/>
    <w:rsid w:val="006257CC"/>
    <w:rsid w:val="0063777B"/>
    <w:rsid w:val="00640237"/>
    <w:rsid w:val="00640E69"/>
    <w:rsid w:val="0064204C"/>
    <w:rsid w:val="00644524"/>
    <w:rsid w:val="0064486C"/>
    <w:rsid w:val="00644B89"/>
    <w:rsid w:val="00645201"/>
    <w:rsid w:val="006464AA"/>
    <w:rsid w:val="006464D5"/>
    <w:rsid w:val="00647D8F"/>
    <w:rsid w:val="006612E7"/>
    <w:rsid w:val="00665940"/>
    <w:rsid w:val="00665B25"/>
    <w:rsid w:val="00670320"/>
    <w:rsid w:val="006739E7"/>
    <w:rsid w:val="00675BE0"/>
    <w:rsid w:val="00676AD8"/>
    <w:rsid w:val="00676B5B"/>
    <w:rsid w:val="006802BF"/>
    <w:rsid w:val="0068041D"/>
    <w:rsid w:val="00682AF6"/>
    <w:rsid w:val="00682B7C"/>
    <w:rsid w:val="00683013"/>
    <w:rsid w:val="00687A3A"/>
    <w:rsid w:val="00691F2F"/>
    <w:rsid w:val="006A02E4"/>
    <w:rsid w:val="006A7BE9"/>
    <w:rsid w:val="006B0935"/>
    <w:rsid w:val="006B2A10"/>
    <w:rsid w:val="006B38F1"/>
    <w:rsid w:val="006B4731"/>
    <w:rsid w:val="006B78FD"/>
    <w:rsid w:val="006C40DC"/>
    <w:rsid w:val="006C5B70"/>
    <w:rsid w:val="006C6FB9"/>
    <w:rsid w:val="006D07F9"/>
    <w:rsid w:val="006D1403"/>
    <w:rsid w:val="006D156E"/>
    <w:rsid w:val="006D4C84"/>
    <w:rsid w:val="006D6153"/>
    <w:rsid w:val="006D636A"/>
    <w:rsid w:val="006E17C1"/>
    <w:rsid w:val="006E1A58"/>
    <w:rsid w:val="006E2614"/>
    <w:rsid w:val="006E2964"/>
    <w:rsid w:val="006E378A"/>
    <w:rsid w:val="006E5F1B"/>
    <w:rsid w:val="006E6829"/>
    <w:rsid w:val="006F15AF"/>
    <w:rsid w:val="006F374B"/>
    <w:rsid w:val="006F5A02"/>
    <w:rsid w:val="00701F9C"/>
    <w:rsid w:val="007043DB"/>
    <w:rsid w:val="00704BAE"/>
    <w:rsid w:val="00711B8F"/>
    <w:rsid w:val="00716790"/>
    <w:rsid w:val="00717B1A"/>
    <w:rsid w:val="00723A10"/>
    <w:rsid w:val="00724AA5"/>
    <w:rsid w:val="00730091"/>
    <w:rsid w:val="00730AE1"/>
    <w:rsid w:val="007325DA"/>
    <w:rsid w:val="00732AF9"/>
    <w:rsid w:val="007365B5"/>
    <w:rsid w:val="007457D3"/>
    <w:rsid w:val="00751C8C"/>
    <w:rsid w:val="007605D9"/>
    <w:rsid w:val="0076068D"/>
    <w:rsid w:val="00760AA6"/>
    <w:rsid w:val="00761204"/>
    <w:rsid w:val="007632CC"/>
    <w:rsid w:val="007649C9"/>
    <w:rsid w:val="00764AC3"/>
    <w:rsid w:val="0076548F"/>
    <w:rsid w:val="007671B3"/>
    <w:rsid w:val="007674F4"/>
    <w:rsid w:val="00767927"/>
    <w:rsid w:val="0077200A"/>
    <w:rsid w:val="0077410E"/>
    <w:rsid w:val="00774C52"/>
    <w:rsid w:val="007753E2"/>
    <w:rsid w:val="00784D83"/>
    <w:rsid w:val="007857A0"/>
    <w:rsid w:val="0078593D"/>
    <w:rsid w:val="00786CB2"/>
    <w:rsid w:val="0079018A"/>
    <w:rsid w:val="00790A66"/>
    <w:rsid w:val="007976E4"/>
    <w:rsid w:val="007A07CB"/>
    <w:rsid w:val="007A3613"/>
    <w:rsid w:val="007B34A5"/>
    <w:rsid w:val="007B53EA"/>
    <w:rsid w:val="007C0ED2"/>
    <w:rsid w:val="007C2B23"/>
    <w:rsid w:val="007C3EEA"/>
    <w:rsid w:val="007C4C51"/>
    <w:rsid w:val="007C6867"/>
    <w:rsid w:val="007C6F32"/>
    <w:rsid w:val="007D6C4B"/>
    <w:rsid w:val="007E0A7F"/>
    <w:rsid w:val="007E18C1"/>
    <w:rsid w:val="007E47DA"/>
    <w:rsid w:val="007E5FBD"/>
    <w:rsid w:val="007E7D3D"/>
    <w:rsid w:val="007F0498"/>
    <w:rsid w:val="007F55DF"/>
    <w:rsid w:val="007F7131"/>
    <w:rsid w:val="00800CA9"/>
    <w:rsid w:val="008076D9"/>
    <w:rsid w:val="00810591"/>
    <w:rsid w:val="00810795"/>
    <w:rsid w:val="00820998"/>
    <w:rsid w:val="00821495"/>
    <w:rsid w:val="00821865"/>
    <w:rsid w:val="00823B97"/>
    <w:rsid w:val="00824D20"/>
    <w:rsid w:val="00825ECC"/>
    <w:rsid w:val="0082716C"/>
    <w:rsid w:val="008324E3"/>
    <w:rsid w:val="0083298E"/>
    <w:rsid w:val="00833899"/>
    <w:rsid w:val="008400E8"/>
    <w:rsid w:val="00845B5E"/>
    <w:rsid w:val="00845CDE"/>
    <w:rsid w:val="00853839"/>
    <w:rsid w:val="008577CE"/>
    <w:rsid w:val="0086168E"/>
    <w:rsid w:val="0086177F"/>
    <w:rsid w:val="00862C81"/>
    <w:rsid w:val="008648C3"/>
    <w:rsid w:val="00864AB8"/>
    <w:rsid w:val="008657DD"/>
    <w:rsid w:val="00866798"/>
    <w:rsid w:val="00866FE3"/>
    <w:rsid w:val="00886728"/>
    <w:rsid w:val="0088778C"/>
    <w:rsid w:val="00890461"/>
    <w:rsid w:val="0089232F"/>
    <w:rsid w:val="008936AB"/>
    <w:rsid w:val="0089378C"/>
    <w:rsid w:val="00894A7C"/>
    <w:rsid w:val="00894F6D"/>
    <w:rsid w:val="008A17B2"/>
    <w:rsid w:val="008A413A"/>
    <w:rsid w:val="008A5921"/>
    <w:rsid w:val="008A5CE4"/>
    <w:rsid w:val="008A7A90"/>
    <w:rsid w:val="008B67F8"/>
    <w:rsid w:val="008C4F1F"/>
    <w:rsid w:val="008C4F6F"/>
    <w:rsid w:val="008C7325"/>
    <w:rsid w:val="008D1B5D"/>
    <w:rsid w:val="008D5C9D"/>
    <w:rsid w:val="008D6657"/>
    <w:rsid w:val="008D6E49"/>
    <w:rsid w:val="008E4336"/>
    <w:rsid w:val="008F4517"/>
    <w:rsid w:val="008F57FD"/>
    <w:rsid w:val="008F5B49"/>
    <w:rsid w:val="008F5C2F"/>
    <w:rsid w:val="008F5F8C"/>
    <w:rsid w:val="008F5FA3"/>
    <w:rsid w:val="008F61BB"/>
    <w:rsid w:val="008F7667"/>
    <w:rsid w:val="00901EBC"/>
    <w:rsid w:val="00903A86"/>
    <w:rsid w:val="009066FC"/>
    <w:rsid w:val="00907709"/>
    <w:rsid w:val="00911D66"/>
    <w:rsid w:val="00912D7C"/>
    <w:rsid w:val="00913035"/>
    <w:rsid w:val="0091383B"/>
    <w:rsid w:val="00914C95"/>
    <w:rsid w:val="009202CE"/>
    <w:rsid w:val="009220AE"/>
    <w:rsid w:val="00926856"/>
    <w:rsid w:val="00927DDA"/>
    <w:rsid w:val="0093013C"/>
    <w:rsid w:val="00931B05"/>
    <w:rsid w:val="0093343E"/>
    <w:rsid w:val="009357EB"/>
    <w:rsid w:val="00936FB2"/>
    <w:rsid w:val="00942C81"/>
    <w:rsid w:val="00944E21"/>
    <w:rsid w:val="00947548"/>
    <w:rsid w:val="009476FD"/>
    <w:rsid w:val="00952628"/>
    <w:rsid w:val="00952D9A"/>
    <w:rsid w:val="00955F6C"/>
    <w:rsid w:val="00956309"/>
    <w:rsid w:val="00957347"/>
    <w:rsid w:val="009634B4"/>
    <w:rsid w:val="00963878"/>
    <w:rsid w:val="009660E0"/>
    <w:rsid w:val="00966264"/>
    <w:rsid w:val="009676D2"/>
    <w:rsid w:val="00971478"/>
    <w:rsid w:val="00972787"/>
    <w:rsid w:val="009820D7"/>
    <w:rsid w:val="0098565D"/>
    <w:rsid w:val="00985DE3"/>
    <w:rsid w:val="0098617D"/>
    <w:rsid w:val="00986F96"/>
    <w:rsid w:val="00997CB2"/>
    <w:rsid w:val="009A5BAD"/>
    <w:rsid w:val="009A7C18"/>
    <w:rsid w:val="009B06E3"/>
    <w:rsid w:val="009B1FF8"/>
    <w:rsid w:val="009B625F"/>
    <w:rsid w:val="009C2F6F"/>
    <w:rsid w:val="009C4055"/>
    <w:rsid w:val="009C4E1A"/>
    <w:rsid w:val="009C62DB"/>
    <w:rsid w:val="009D1001"/>
    <w:rsid w:val="009D18CA"/>
    <w:rsid w:val="009D3B2B"/>
    <w:rsid w:val="009D3C7B"/>
    <w:rsid w:val="009D3CFB"/>
    <w:rsid w:val="009D65CB"/>
    <w:rsid w:val="009D7B55"/>
    <w:rsid w:val="009E34E1"/>
    <w:rsid w:val="009E3832"/>
    <w:rsid w:val="009F0873"/>
    <w:rsid w:val="009F0EBE"/>
    <w:rsid w:val="009F1224"/>
    <w:rsid w:val="009F2560"/>
    <w:rsid w:val="009F435C"/>
    <w:rsid w:val="00A01EB7"/>
    <w:rsid w:val="00A02348"/>
    <w:rsid w:val="00A0492C"/>
    <w:rsid w:val="00A1004A"/>
    <w:rsid w:val="00A10DCA"/>
    <w:rsid w:val="00A1646C"/>
    <w:rsid w:val="00A17197"/>
    <w:rsid w:val="00A2396A"/>
    <w:rsid w:val="00A24C17"/>
    <w:rsid w:val="00A26697"/>
    <w:rsid w:val="00A27283"/>
    <w:rsid w:val="00A31A2B"/>
    <w:rsid w:val="00A34BDF"/>
    <w:rsid w:val="00A37EA3"/>
    <w:rsid w:val="00A40B94"/>
    <w:rsid w:val="00A43C72"/>
    <w:rsid w:val="00A440B5"/>
    <w:rsid w:val="00A447B0"/>
    <w:rsid w:val="00A47C50"/>
    <w:rsid w:val="00A516E1"/>
    <w:rsid w:val="00A52E82"/>
    <w:rsid w:val="00A536DD"/>
    <w:rsid w:val="00A569FE"/>
    <w:rsid w:val="00A57928"/>
    <w:rsid w:val="00A606F4"/>
    <w:rsid w:val="00A620D3"/>
    <w:rsid w:val="00A62228"/>
    <w:rsid w:val="00A65069"/>
    <w:rsid w:val="00A703C1"/>
    <w:rsid w:val="00A71E3F"/>
    <w:rsid w:val="00A72F02"/>
    <w:rsid w:val="00A73737"/>
    <w:rsid w:val="00A73A7C"/>
    <w:rsid w:val="00A7726E"/>
    <w:rsid w:val="00A77BCE"/>
    <w:rsid w:val="00A827D8"/>
    <w:rsid w:val="00A84738"/>
    <w:rsid w:val="00A852A6"/>
    <w:rsid w:val="00A862E4"/>
    <w:rsid w:val="00A90B57"/>
    <w:rsid w:val="00AA170C"/>
    <w:rsid w:val="00AA1D35"/>
    <w:rsid w:val="00AA3259"/>
    <w:rsid w:val="00AA4529"/>
    <w:rsid w:val="00AA6C0E"/>
    <w:rsid w:val="00AB255D"/>
    <w:rsid w:val="00AB37B8"/>
    <w:rsid w:val="00AB471B"/>
    <w:rsid w:val="00AB61DB"/>
    <w:rsid w:val="00AB642B"/>
    <w:rsid w:val="00AC5A77"/>
    <w:rsid w:val="00AC5C22"/>
    <w:rsid w:val="00AC5C91"/>
    <w:rsid w:val="00AE09A0"/>
    <w:rsid w:val="00AE2236"/>
    <w:rsid w:val="00AF3C21"/>
    <w:rsid w:val="00AF4252"/>
    <w:rsid w:val="00AF4A97"/>
    <w:rsid w:val="00B00800"/>
    <w:rsid w:val="00B034CC"/>
    <w:rsid w:val="00B04269"/>
    <w:rsid w:val="00B043B6"/>
    <w:rsid w:val="00B04B5D"/>
    <w:rsid w:val="00B05FA7"/>
    <w:rsid w:val="00B07CE1"/>
    <w:rsid w:val="00B1063E"/>
    <w:rsid w:val="00B11041"/>
    <w:rsid w:val="00B11316"/>
    <w:rsid w:val="00B1135E"/>
    <w:rsid w:val="00B117FE"/>
    <w:rsid w:val="00B148CD"/>
    <w:rsid w:val="00B14A31"/>
    <w:rsid w:val="00B14F51"/>
    <w:rsid w:val="00B17903"/>
    <w:rsid w:val="00B21037"/>
    <w:rsid w:val="00B22F47"/>
    <w:rsid w:val="00B23A70"/>
    <w:rsid w:val="00B23B4A"/>
    <w:rsid w:val="00B24092"/>
    <w:rsid w:val="00B24A05"/>
    <w:rsid w:val="00B26950"/>
    <w:rsid w:val="00B324D4"/>
    <w:rsid w:val="00B3573A"/>
    <w:rsid w:val="00B37525"/>
    <w:rsid w:val="00B411AA"/>
    <w:rsid w:val="00B412E5"/>
    <w:rsid w:val="00B41C57"/>
    <w:rsid w:val="00B434B9"/>
    <w:rsid w:val="00B440B7"/>
    <w:rsid w:val="00B45BF2"/>
    <w:rsid w:val="00B46A39"/>
    <w:rsid w:val="00B53B49"/>
    <w:rsid w:val="00B55F8B"/>
    <w:rsid w:val="00B56432"/>
    <w:rsid w:val="00B60EC0"/>
    <w:rsid w:val="00B612E7"/>
    <w:rsid w:val="00B62740"/>
    <w:rsid w:val="00B63AFA"/>
    <w:rsid w:val="00B64807"/>
    <w:rsid w:val="00B713A0"/>
    <w:rsid w:val="00B717B8"/>
    <w:rsid w:val="00B74A1F"/>
    <w:rsid w:val="00B76E18"/>
    <w:rsid w:val="00B8065E"/>
    <w:rsid w:val="00B84664"/>
    <w:rsid w:val="00B86A0D"/>
    <w:rsid w:val="00B91863"/>
    <w:rsid w:val="00B938E9"/>
    <w:rsid w:val="00B96104"/>
    <w:rsid w:val="00B96436"/>
    <w:rsid w:val="00B9799D"/>
    <w:rsid w:val="00BA131B"/>
    <w:rsid w:val="00BA13F8"/>
    <w:rsid w:val="00BA4928"/>
    <w:rsid w:val="00BA4A55"/>
    <w:rsid w:val="00BA5F83"/>
    <w:rsid w:val="00BA63E3"/>
    <w:rsid w:val="00BB513B"/>
    <w:rsid w:val="00BB66F1"/>
    <w:rsid w:val="00BB71F0"/>
    <w:rsid w:val="00BC351E"/>
    <w:rsid w:val="00BC4CC5"/>
    <w:rsid w:val="00BC70B1"/>
    <w:rsid w:val="00BD228B"/>
    <w:rsid w:val="00BD2459"/>
    <w:rsid w:val="00BD2528"/>
    <w:rsid w:val="00BD7EF4"/>
    <w:rsid w:val="00BE0AB4"/>
    <w:rsid w:val="00BE5E1B"/>
    <w:rsid w:val="00BE618F"/>
    <w:rsid w:val="00BE6C2B"/>
    <w:rsid w:val="00BF0D14"/>
    <w:rsid w:val="00BF3D22"/>
    <w:rsid w:val="00BF462D"/>
    <w:rsid w:val="00C00DC8"/>
    <w:rsid w:val="00C06D98"/>
    <w:rsid w:val="00C12A79"/>
    <w:rsid w:val="00C12DE2"/>
    <w:rsid w:val="00C13544"/>
    <w:rsid w:val="00C13615"/>
    <w:rsid w:val="00C15733"/>
    <w:rsid w:val="00C17FFD"/>
    <w:rsid w:val="00C26521"/>
    <w:rsid w:val="00C33E9E"/>
    <w:rsid w:val="00C34BE0"/>
    <w:rsid w:val="00C34DE3"/>
    <w:rsid w:val="00C35A94"/>
    <w:rsid w:val="00C35F26"/>
    <w:rsid w:val="00C363A0"/>
    <w:rsid w:val="00C41244"/>
    <w:rsid w:val="00C41CC2"/>
    <w:rsid w:val="00C44423"/>
    <w:rsid w:val="00C44F6A"/>
    <w:rsid w:val="00C465A9"/>
    <w:rsid w:val="00C50711"/>
    <w:rsid w:val="00C51307"/>
    <w:rsid w:val="00C5138C"/>
    <w:rsid w:val="00C5411B"/>
    <w:rsid w:val="00C61C2E"/>
    <w:rsid w:val="00C64998"/>
    <w:rsid w:val="00C65D12"/>
    <w:rsid w:val="00C701D9"/>
    <w:rsid w:val="00C73847"/>
    <w:rsid w:val="00C75D82"/>
    <w:rsid w:val="00C85413"/>
    <w:rsid w:val="00C85AC4"/>
    <w:rsid w:val="00C9084B"/>
    <w:rsid w:val="00C9250A"/>
    <w:rsid w:val="00C9251A"/>
    <w:rsid w:val="00C92983"/>
    <w:rsid w:val="00C97F72"/>
    <w:rsid w:val="00CB0CCF"/>
    <w:rsid w:val="00CB4645"/>
    <w:rsid w:val="00CB4E91"/>
    <w:rsid w:val="00CC08C9"/>
    <w:rsid w:val="00CC1683"/>
    <w:rsid w:val="00CC37CE"/>
    <w:rsid w:val="00CC7EB0"/>
    <w:rsid w:val="00CD0591"/>
    <w:rsid w:val="00CD32F5"/>
    <w:rsid w:val="00CD499A"/>
    <w:rsid w:val="00CD638E"/>
    <w:rsid w:val="00CD6CCF"/>
    <w:rsid w:val="00CE040E"/>
    <w:rsid w:val="00CE4168"/>
    <w:rsid w:val="00CF0CCE"/>
    <w:rsid w:val="00CF287D"/>
    <w:rsid w:val="00CF5D0E"/>
    <w:rsid w:val="00CF737D"/>
    <w:rsid w:val="00D02333"/>
    <w:rsid w:val="00D02A0A"/>
    <w:rsid w:val="00D03A93"/>
    <w:rsid w:val="00D03E63"/>
    <w:rsid w:val="00D05536"/>
    <w:rsid w:val="00D12076"/>
    <w:rsid w:val="00D238A5"/>
    <w:rsid w:val="00D27652"/>
    <w:rsid w:val="00D27CF3"/>
    <w:rsid w:val="00D322BB"/>
    <w:rsid w:val="00D33C56"/>
    <w:rsid w:val="00D40CDF"/>
    <w:rsid w:val="00D45864"/>
    <w:rsid w:val="00D50294"/>
    <w:rsid w:val="00D51AF7"/>
    <w:rsid w:val="00D51F03"/>
    <w:rsid w:val="00D540B4"/>
    <w:rsid w:val="00D54267"/>
    <w:rsid w:val="00D555B5"/>
    <w:rsid w:val="00D56258"/>
    <w:rsid w:val="00D56BF7"/>
    <w:rsid w:val="00D57C9C"/>
    <w:rsid w:val="00D6037E"/>
    <w:rsid w:val="00D61830"/>
    <w:rsid w:val="00D61834"/>
    <w:rsid w:val="00D625C8"/>
    <w:rsid w:val="00D626FB"/>
    <w:rsid w:val="00D62EFA"/>
    <w:rsid w:val="00D63789"/>
    <w:rsid w:val="00D63898"/>
    <w:rsid w:val="00D645E1"/>
    <w:rsid w:val="00D67A16"/>
    <w:rsid w:val="00D7114E"/>
    <w:rsid w:val="00D74A55"/>
    <w:rsid w:val="00D74EC1"/>
    <w:rsid w:val="00D7551B"/>
    <w:rsid w:val="00D82036"/>
    <w:rsid w:val="00D86DD5"/>
    <w:rsid w:val="00D92CD5"/>
    <w:rsid w:val="00D961CB"/>
    <w:rsid w:val="00D967B0"/>
    <w:rsid w:val="00DA0C63"/>
    <w:rsid w:val="00DA419C"/>
    <w:rsid w:val="00DA45A8"/>
    <w:rsid w:val="00DA595C"/>
    <w:rsid w:val="00DA764E"/>
    <w:rsid w:val="00DB1CC5"/>
    <w:rsid w:val="00DB6BB7"/>
    <w:rsid w:val="00DC273A"/>
    <w:rsid w:val="00DC39AC"/>
    <w:rsid w:val="00DC621F"/>
    <w:rsid w:val="00DC6E57"/>
    <w:rsid w:val="00DC78F2"/>
    <w:rsid w:val="00DD0449"/>
    <w:rsid w:val="00DD3011"/>
    <w:rsid w:val="00DD39F0"/>
    <w:rsid w:val="00DD7C66"/>
    <w:rsid w:val="00DE0082"/>
    <w:rsid w:val="00DE15BA"/>
    <w:rsid w:val="00DE502B"/>
    <w:rsid w:val="00DE536E"/>
    <w:rsid w:val="00DE5F94"/>
    <w:rsid w:val="00DF1C79"/>
    <w:rsid w:val="00DF429A"/>
    <w:rsid w:val="00DF4A7E"/>
    <w:rsid w:val="00DF5BB4"/>
    <w:rsid w:val="00DF63A2"/>
    <w:rsid w:val="00DF6602"/>
    <w:rsid w:val="00DF6E27"/>
    <w:rsid w:val="00DF789A"/>
    <w:rsid w:val="00E000C0"/>
    <w:rsid w:val="00E03EE6"/>
    <w:rsid w:val="00E05F2F"/>
    <w:rsid w:val="00E06BE6"/>
    <w:rsid w:val="00E07349"/>
    <w:rsid w:val="00E0782F"/>
    <w:rsid w:val="00E11761"/>
    <w:rsid w:val="00E128E1"/>
    <w:rsid w:val="00E13737"/>
    <w:rsid w:val="00E13D9A"/>
    <w:rsid w:val="00E145C1"/>
    <w:rsid w:val="00E16F65"/>
    <w:rsid w:val="00E209A3"/>
    <w:rsid w:val="00E2492D"/>
    <w:rsid w:val="00E263CE"/>
    <w:rsid w:val="00E33FA2"/>
    <w:rsid w:val="00E34287"/>
    <w:rsid w:val="00E34710"/>
    <w:rsid w:val="00E3660D"/>
    <w:rsid w:val="00E432F2"/>
    <w:rsid w:val="00E452FD"/>
    <w:rsid w:val="00E454C9"/>
    <w:rsid w:val="00E47047"/>
    <w:rsid w:val="00E53452"/>
    <w:rsid w:val="00E53507"/>
    <w:rsid w:val="00E551B9"/>
    <w:rsid w:val="00E63C2A"/>
    <w:rsid w:val="00E6457B"/>
    <w:rsid w:val="00E675FC"/>
    <w:rsid w:val="00E67F7B"/>
    <w:rsid w:val="00E70229"/>
    <w:rsid w:val="00E83049"/>
    <w:rsid w:val="00E84D0F"/>
    <w:rsid w:val="00E869A8"/>
    <w:rsid w:val="00E86C41"/>
    <w:rsid w:val="00E87524"/>
    <w:rsid w:val="00E8777B"/>
    <w:rsid w:val="00E93C03"/>
    <w:rsid w:val="00E950EB"/>
    <w:rsid w:val="00E95BD4"/>
    <w:rsid w:val="00E95F62"/>
    <w:rsid w:val="00E96D74"/>
    <w:rsid w:val="00EA0966"/>
    <w:rsid w:val="00EA3FC2"/>
    <w:rsid w:val="00EA453A"/>
    <w:rsid w:val="00EA4BAB"/>
    <w:rsid w:val="00EA5A11"/>
    <w:rsid w:val="00EA67F1"/>
    <w:rsid w:val="00EA7F78"/>
    <w:rsid w:val="00EB0C59"/>
    <w:rsid w:val="00EB0E4B"/>
    <w:rsid w:val="00EB6242"/>
    <w:rsid w:val="00EB789B"/>
    <w:rsid w:val="00EB7987"/>
    <w:rsid w:val="00EC02FF"/>
    <w:rsid w:val="00EC0960"/>
    <w:rsid w:val="00EC2B63"/>
    <w:rsid w:val="00EC3728"/>
    <w:rsid w:val="00EC3BD8"/>
    <w:rsid w:val="00EC42FB"/>
    <w:rsid w:val="00EC523B"/>
    <w:rsid w:val="00ED6A8A"/>
    <w:rsid w:val="00ED6CB3"/>
    <w:rsid w:val="00ED7D06"/>
    <w:rsid w:val="00EE05F8"/>
    <w:rsid w:val="00EE4B39"/>
    <w:rsid w:val="00EF11A3"/>
    <w:rsid w:val="00EF4CC0"/>
    <w:rsid w:val="00EF6711"/>
    <w:rsid w:val="00EF78A3"/>
    <w:rsid w:val="00F0081D"/>
    <w:rsid w:val="00F010EE"/>
    <w:rsid w:val="00F01CEC"/>
    <w:rsid w:val="00F02A9F"/>
    <w:rsid w:val="00F02D3C"/>
    <w:rsid w:val="00F03243"/>
    <w:rsid w:val="00F03EF1"/>
    <w:rsid w:val="00F0416F"/>
    <w:rsid w:val="00F05954"/>
    <w:rsid w:val="00F07B7C"/>
    <w:rsid w:val="00F07DEC"/>
    <w:rsid w:val="00F121A8"/>
    <w:rsid w:val="00F125F1"/>
    <w:rsid w:val="00F12BF0"/>
    <w:rsid w:val="00F1442B"/>
    <w:rsid w:val="00F149B5"/>
    <w:rsid w:val="00F153B2"/>
    <w:rsid w:val="00F163FE"/>
    <w:rsid w:val="00F16A7B"/>
    <w:rsid w:val="00F16C73"/>
    <w:rsid w:val="00F16E4A"/>
    <w:rsid w:val="00F171D6"/>
    <w:rsid w:val="00F21FB4"/>
    <w:rsid w:val="00F2267F"/>
    <w:rsid w:val="00F24020"/>
    <w:rsid w:val="00F24506"/>
    <w:rsid w:val="00F24B80"/>
    <w:rsid w:val="00F257CC"/>
    <w:rsid w:val="00F25A26"/>
    <w:rsid w:val="00F2658E"/>
    <w:rsid w:val="00F27590"/>
    <w:rsid w:val="00F31982"/>
    <w:rsid w:val="00F34BA8"/>
    <w:rsid w:val="00F35761"/>
    <w:rsid w:val="00F36225"/>
    <w:rsid w:val="00F3715A"/>
    <w:rsid w:val="00F41A95"/>
    <w:rsid w:val="00F4698A"/>
    <w:rsid w:val="00F46AFC"/>
    <w:rsid w:val="00F47931"/>
    <w:rsid w:val="00F50C9C"/>
    <w:rsid w:val="00F51DFC"/>
    <w:rsid w:val="00F56A0D"/>
    <w:rsid w:val="00F5715E"/>
    <w:rsid w:val="00F63B0B"/>
    <w:rsid w:val="00F728A7"/>
    <w:rsid w:val="00F735CC"/>
    <w:rsid w:val="00F746C1"/>
    <w:rsid w:val="00F829EA"/>
    <w:rsid w:val="00F847A2"/>
    <w:rsid w:val="00F84F64"/>
    <w:rsid w:val="00F850C3"/>
    <w:rsid w:val="00F854BC"/>
    <w:rsid w:val="00F8591F"/>
    <w:rsid w:val="00F85DEE"/>
    <w:rsid w:val="00F90D84"/>
    <w:rsid w:val="00F93D13"/>
    <w:rsid w:val="00F955DB"/>
    <w:rsid w:val="00FA0852"/>
    <w:rsid w:val="00FA140F"/>
    <w:rsid w:val="00FA2B52"/>
    <w:rsid w:val="00FA5823"/>
    <w:rsid w:val="00FA6BE8"/>
    <w:rsid w:val="00FA6E73"/>
    <w:rsid w:val="00FA7628"/>
    <w:rsid w:val="00FB1B6D"/>
    <w:rsid w:val="00FB5D3C"/>
    <w:rsid w:val="00FC3C52"/>
    <w:rsid w:val="00FC4476"/>
    <w:rsid w:val="00FC56B3"/>
    <w:rsid w:val="00FC574F"/>
    <w:rsid w:val="00FD0428"/>
    <w:rsid w:val="00FD17B9"/>
    <w:rsid w:val="00FD41DF"/>
    <w:rsid w:val="00FD570B"/>
    <w:rsid w:val="00FD6338"/>
    <w:rsid w:val="00FD74DF"/>
    <w:rsid w:val="00FE16F4"/>
    <w:rsid w:val="00FE5A5F"/>
    <w:rsid w:val="00FE68A3"/>
    <w:rsid w:val="00FE73CF"/>
    <w:rsid w:val="00FF1CD1"/>
    <w:rsid w:val="00FF421F"/>
    <w:rsid w:val="00FF6635"/>
    <w:rsid w:val="00FF6A3E"/>
    <w:rsid w:val="00FF6FAC"/>
    <w:rsid w:val="00FF72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AA"/>
    <w:rPr>
      <w:rFonts w:ascii="Times New Roman" w:eastAsia="Calibri" w:hAnsi="Times New Roman" w:cs="Times New Roman"/>
    </w:rPr>
  </w:style>
  <w:style w:type="paragraph" w:styleId="Heading1">
    <w:name w:val="heading 1"/>
    <w:basedOn w:val="Normal"/>
    <w:next w:val="Normal"/>
    <w:link w:val="Heading1Char"/>
    <w:uiPriority w:val="9"/>
    <w:qFormat/>
    <w:rsid w:val="00D92CD5"/>
    <w:pPr>
      <w:keepNext/>
      <w:spacing w:before="240" w:after="60"/>
      <w:outlineLvl w:val="0"/>
    </w:pPr>
    <w:rPr>
      <w:rFonts w:eastAsia="Times New Roman"/>
      <w:b/>
      <w:bCs/>
      <w:kern w:val="32"/>
      <w:sz w:val="24"/>
      <w:szCs w:val="32"/>
    </w:rPr>
  </w:style>
  <w:style w:type="paragraph" w:styleId="Heading2">
    <w:name w:val="heading 2"/>
    <w:basedOn w:val="Normal"/>
    <w:next w:val="Normal"/>
    <w:link w:val="Heading2Char"/>
    <w:qFormat/>
    <w:rsid w:val="00D92CD5"/>
    <w:pPr>
      <w:keepNext/>
      <w:spacing w:before="240" w:after="60"/>
      <w:outlineLvl w:val="1"/>
    </w:pPr>
    <w:rPr>
      <w:rFonts w:cs="Arial"/>
      <w:b/>
      <w:bCs/>
      <w:i/>
      <w:iCs/>
      <w:sz w:val="24"/>
      <w:szCs w:val="28"/>
    </w:rPr>
  </w:style>
  <w:style w:type="paragraph" w:styleId="Heading3">
    <w:name w:val="heading 3"/>
    <w:basedOn w:val="Normal"/>
    <w:next w:val="Normal"/>
    <w:link w:val="Heading3Char1"/>
    <w:qFormat/>
    <w:rsid w:val="00D92CD5"/>
    <w:pPr>
      <w:keepNext/>
      <w:spacing w:before="240" w:after="60" w:line="240" w:lineRule="auto"/>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3C"/>
    <w:pPr>
      <w:spacing w:before="120" w:after="120"/>
      <w:contextualSpacing/>
    </w:pPr>
    <w:rPr>
      <w:rFonts w:ascii="Arial" w:hAnsi="Arial"/>
      <w:szCs w:val="20"/>
    </w:rPr>
  </w:style>
  <w:style w:type="character" w:customStyle="1" w:styleId="Heading1Char">
    <w:name w:val="Heading 1 Char"/>
    <w:basedOn w:val="DefaultParagraphFont"/>
    <w:link w:val="Heading1"/>
    <w:uiPriority w:val="9"/>
    <w:rsid w:val="00D92CD5"/>
    <w:rPr>
      <w:rFonts w:ascii="Times New Roman" w:hAnsi="Times New Roman" w:cs="Times New Roman"/>
      <w:b/>
      <w:bCs/>
      <w:kern w:val="32"/>
      <w:sz w:val="24"/>
      <w:szCs w:val="32"/>
    </w:rPr>
  </w:style>
  <w:style w:type="character" w:customStyle="1" w:styleId="Heading2Char">
    <w:name w:val="Heading 2 Char"/>
    <w:basedOn w:val="DefaultParagraphFont"/>
    <w:link w:val="Heading2"/>
    <w:rsid w:val="00D92CD5"/>
    <w:rPr>
      <w:rFonts w:ascii="Times New Roman" w:eastAsia="Calibri" w:hAnsi="Times New Roman" w:cs="Arial"/>
      <w:b/>
      <w:bCs/>
      <w:i/>
      <w:iCs/>
      <w:sz w:val="24"/>
      <w:szCs w:val="28"/>
    </w:rPr>
  </w:style>
  <w:style w:type="character" w:customStyle="1" w:styleId="Heading3Char">
    <w:name w:val="Heading 3 Char"/>
    <w:basedOn w:val="DefaultParagraphFont"/>
    <w:rsid w:val="00D92CD5"/>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link w:val="Heading3"/>
    <w:rsid w:val="00D92CD5"/>
    <w:rPr>
      <w:rFonts w:ascii="Times New Roman" w:hAnsi="Times New Roman" w:cs="Times New Roman"/>
      <w:b/>
      <w:sz w:val="24"/>
      <w:szCs w:val="20"/>
    </w:rPr>
  </w:style>
  <w:style w:type="paragraph" w:styleId="BodyText">
    <w:name w:val="Body Text"/>
    <w:basedOn w:val="Normal"/>
    <w:link w:val="BodyTextChar"/>
    <w:rsid w:val="00D92CD5"/>
    <w:pPr>
      <w:spacing w:before="120" w:after="0" w:line="240" w:lineRule="auto"/>
      <w:jc w:val="both"/>
    </w:pPr>
    <w:rPr>
      <w:rFonts w:eastAsia="Times New Roman"/>
      <w:szCs w:val="20"/>
    </w:rPr>
  </w:style>
  <w:style w:type="character" w:customStyle="1" w:styleId="BodyTextChar">
    <w:name w:val="Body Text Char"/>
    <w:basedOn w:val="DefaultParagraphFont"/>
    <w:link w:val="BodyText"/>
    <w:rsid w:val="00D92CD5"/>
    <w:rPr>
      <w:rFonts w:ascii="Times New Roman" w:hAnsi="Times New Roman" w:cs="Times New Roman"/>
      <w:szCs w:val="20"/>
    </w:rPr>
  </w:style>
  <w:style w:type="paragraph" w:styleId="Title">
    <w:name w:val="Title"/>
    <w:basedOn w:val="Normal"/>
    <w:link w:val="TitleChar"/>
    <w:qFormat/>
    <w:rsid w:val="00D92CD5"/>
    <w:pPr>
      <w:spacing w:before="240" w:after="60" w:line="240" w:lineRule="auto"/>
      <w:jc w:val="center"/>
      <w:outlineLvl w:val="0"/>
    </w:pPr>
    <w:rPr>
      <w:rFonts w:eastAsia="Times New Roman" w:cs="Arial"/>
      <w:b/>
      <w:bCs/>
      <w:kern w:val="28"/>
      <w:sz w:val="28"/>
      <w:szCs w:val="32"/>
      <w:lang w:val="en-US"/>
    </w:rPr>
  </w:style>
  <w:style w:type="character" w:customStyle="1" w:styleId="TitleChar">
    <w:name w:val="Title Char"/>
    <w:basedOn w:val="DefaultParagraphFont"/>
    <w:link w:val="Title"/>
    <w:rsid w:val="00D92CD5"/>
    <w:rPr>
      <w:rFonts w:ascii="Times New Roman" w:hAnsi="Times New Roman" w:cs="Arial"/>
      <w:b/>
      <w:bCs/>
      <w:kern w:val="28"/>
      <w:sz w:val="28"/>
      <w:szCs w:val="32"/>
      <w:lang w:val="en-US"/>
    </w:rPr>
  </w:style>
  <w:style w:type="paragraph" w:styleId="Caption">
    <w:name w:val="caption"/>
    <w:basedOn w:val="Normal"/>
    <w:next w:val="Normal"/>
    <w:qFormat/>
    <w:rsid w:val="00D92CD5"/>
    <w:pPr>
      <w:spacing w:before="120" w:after="0" w:line="240" w:lineRule="auto"/>
    </w:pPr>
    <w:rPr>
      <w:rFonts w:ascii="Times New Roman Bold" w:eastAsia="Times New Roman" w:hAnsi="Times New Roman Bold"/>
      <w:b/>
      <w:bCs/>
      <w:sz w:val="24"/>
      <w:szCs w:val="20"/>
      <w:lang w:val="en-US"/>
    </w:rPr>
  </w:style>
  <w:style w:type="character" w:styleId="Strong">
    <w:name w:val="Strong"/>
    <w:basedOn w:val="DefaultParagraphFont"/>
    <w:qFormat/>
    <w:rsid w:val="00D92CD5"/>
    <w:rPr>
      <w:b/>
      <w:bCs/>
    </w:rPr>
  </w:style>
  <w:style w:type="table" w:styleId="TableSimple1">
    <w:name w:val="Table Simple 1"/>
    <w:basedOn w:val="TableNormal"/>
    <w:rsid w:val="00D92CD5"/>
    <w:pPr>
      <w:spacing w:after="0" w:line="240" w:lineRule="auto"/>
    </w:pPr>
    <w:rPr>
      <w:rFonts w:ascii="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Box">
    <w:name w:val="Box"/>
    <w:basedOn w:val="BodyText"/>
    <w:rsid w:val="00D92CD5"/>
    <w:pPr>
      <w:numPr>
        <w:numId w:val="3"/>
      </w:numPr>
      <w:pBdr>
        <w:top w:val="single" w:sz="4" w:space="1" w:color="auto"/>
        <w:left w:val="single" w:sz="4" w:space="4" w:color="auto"/>
        <w:bottom w:val="single" w:sz="4" w:space="1" w:color="auto"/>
        <w:right w:val="single" w:sz="4" w:space="4" w:color="auto"/>
      </w:pBdr>
    </w:pPr>
  </w:style>
  <w:style w:type="paragraph" w:customStyle="1" w:styleId="StyleAfter6pt">
    <w:name w:val="Style After:  6 pt"/>
    <w:basedOn w:val="Normal"/>
    <w:rsid w:val="00D92CD5"/>
    <w:pPr>
      <w:spacing w:after="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D5"/>
    <w:rPr>
      <w:rFonts w:ascii="Times New Roman" w:eastAsia="Calibri" w:hAnsi="Times New Roman" w:cs="Times New Roman"/>
    </w:rPr>
  </w:style>
  <w:style w:type="paragraph" w:styleId="Heading1">
    <w:name w:val="heading 1"/>
    <w:basedOn w:val="Normal"/>
    <w:next w:val="Normal"/>
    <w:link w:val="Heading1Char"/>
    <w:uiPriority w:val="9"/>
    <w:qFormat/>
    <w:rsid w:val="00D92CD5"/>
    <w:pPr>
      <w:keepNext/>
      <w:spacing w:before="240" w:after="60"/>
      <w:outlineLvl w:val="0"/>
    </w:pPr>
    <w:rPr>
      <w:rFonts w:eastAsia="Times New Roman"/>
      <w:b/>
      <w:bCs/>
      <w:kern w:val="32"/>
      <w:sz w:val="24"/>
      <w:szCs w:val="32"/>
    </w:rPr>
  </w:style>
  <w:style w:type="paragraph" w:styleId="Heading2">
    <w:name w:val="heading 2"/>
    <w:basedOn w:val="Normal"/>
    <w:next w:val="Normal"/>
    <w:link w:val="Heading2Char"/>
    <w:qFormat/>
    <w:rsid w:val="00D92CD5"/>
    <w:pPr>
      <w:keepNext/>
      <w:spacing w:before="240" w:after="60"/>
      <w:outlineLvl w:val="1"/>
    </w:pPr>
    <w:rPr>
      <w:rFonts w:cs="Arial"/>
      <w:b/>
      <w:bCs/>
      <w:i/>
      <w:iCs/>
      <w:sz w:val="24"/>
      <w:szCs w:val="28"/>
    </w:rPr>
  </w:style>
  <w:style w:type="paragraph" w:styleId="Heading3">
    <w:name w:val="heading 3"/>
    <w:basedOn w:val="Normal"/>
    <w:next w:val="Normal"/>
    <w:link w:val="Heading3Char1"/>
    <w:qFormat/>
    <w:rsid w:val="00D92CD5"/>
    <w:pPr>
      <w:keepNext/>
      <w:spacing w:before="240" w:after="60" w:line="240" w:lineRule="auto"/>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3C"/>
    <w:pPr>
      <w:spacing w:before="120" w:after="120"/>
      <w:contextualSpacing/>
    </w:pPr>
    <w:rPr>
      <w:rFonts w:ascii="Arial" w:hAnsi="Arial"/>
      <w:szCs w:val="20"/>
    </w:rPr>
  </w:style>
  <w:style w:type="character" w:customStyle="1" w:styleId="Heading1Char">
    <w:name w:val="Heading 1 Char"/>
    <w:basedOn w:val="DefaultParagraphFont"/>
    <w:link w:val="Heading1"/>
    <w:uiPriority w:val="9"/>
    <w:rsid w:val="00D92CD5"/>
    <w:rPr>
      <w:rFonts w:ascii="Times New Roman" w:hAnsi="Times New Roman" w:cs="Times New Roman"/>
      <w:b/>
      <w:bCs/>
      <w:kern w:val="32"/>
      <w:sz w:val="24"/>
      <w:szCs w:val="32"/>
    </w:rPr>
  </w:style>
  <w:style w:type="character" w:customStyle="1" w:styleId="Heading2Char">
    <w:name w:val="Heading 2 Char"/>
    <w:basedOn w:val="DefaultParagraphFont"/>
    <w:link w:val="Heading2"/>
    <w:rsid w:val="00D92CD5"/>
    <w:rPr>
      <w:rFonts w:ascii="Times New Roman" w:eastAsia="Calibri" w:hAnsi="Times New Roman" w:cs="Arial"/>
      <w:b/>
      <w:bCs/>
      <w:i/>
      <w:iCs/>
      <w:sz w:val="24"/>
      <w:szCs w:val="28"/>
    </w:rPr>
  </w:style>
  <w:style w:type="character" w:customStyle="1" w:styleId="Heading3Char">
    <w:name w:val="Heading 3 Char"/>
    <w:basedOn w:val="DefaultParagraphFont"/>
    <w:rsid w:val="00D92CD5"/>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link w:val="Heading3"/>
    <w:rsid w:val="00D92CD5"/>
    <w:rPr>
      <w:rFonts w:ascii="Times New Roman" w:hAnsi="Times New Roman" w:cs="Times New Roman"/>
      <w:b/>
      <w:sz w:val="24"/>
      <w:szCs w:val="20"/>
    </w:rPr>
  </w:style>
  <w:style w:type="paragraph" w:styleId="BodyText">
    <w:name w:val="Body Text"/>
    <w:basedOn w:val="Normal"/>
    <w:link w:val="BodyTextChar"/>
    <w:rsid w:val="00D92CD5"/>
    <w:pPr>
      <w:spacing w:before="120" w:after="0" w:line="240" w:lineRule="auto"/>
      <w:jc w:val="both"/>
    </w:pPr>
    <w:rPr>
      <w:rFonts w:eastAsia="Times New Roman"/>
      <w:szCs w:val="20"/>
    </w:rPr>
  </w:style>
  <w:style w:type="character" w:customStyle="1" w:styleId="BodyTextChar">
    <w:name w:val="Body Text Char"/>
    <w:basedOn w:val="DefaultParagraphFont"/>
    <w:link w:val="BodyText"/>
    <w:rsid w:val="00D92CD5"/>
    <w:rPr>
      <w:rFonts w:ascii="Times New Roman" w:hAnsi="Times New Roman" w:cs="Times New Roman"/>
      <w:szCs w:val="20"/>
    </w:rPr>
  </w:style>
  <w:style w:type="paragraph" w:styleId="Title">
    <w:name w:val="Title"/>
    <w:basedOn w:val="Normal"/>
    <w:link w:val="TitleChar"/>
    <w:qFormat/>
    <w:rsid w:val="00D92CD5"/>
    <w:pPr>
      <w:spacing w:before="240" w:after="60" w:line="240" w:lineRule="auto"/>
      <w:jc w:val="center"/>
      <w:outlineLvl w:val="0"/>
    </w:pPr>
    <w:rPr>
      <w:rFonts w:eastAsia="Times New Roman" w:cs="Arial"/>
      <w:b/>
      <w:bCs/>
      <w:kern w:val="28"/>
      <w:sz w:val="28"/>
      <w:szCs w:val="32"/>
      <w:lang w:val="en-US"/>
    </w:rPr>
  </w:style>
  <w:style w:type="character" w:customStyle="1" w:styleId="TitleChar">
    <w:name w:val="Title Char"/>
    <w:basedOn w:val="DefaultParagraphFont"/>
    <w:link w:val="Title"/>
    <w:rsid w:val="00D92CD5"/>
    <w:rPr>
      <w:rFonts w:ascii="Times New Roman" w:hAnsi="Times New Roman" w:cs="Arial"/>
      <w:b/>
      <w:bCs/>
      <w:kern w:val="28"/>
      <w:sz w:val="28"/>
      <w:szCs w:val="32"/>
      <w:lang w:val="en-US"/>
    </w:rPr>
  </w:style>
  <w:style w:type="paragraph" w:styleId="Caption">
    <w:name w:val="caption"/>
    <w:basedOn w:val="Normal"/>
    <w:next w:val="Normal"/>
    <w:qFormat/>
    <w:rsid w:val="00D92CD5"/>
    <w:pPr>
      <w:spacing w:before="120" w:after="0" w:line="240" w:lineRule="auto"/>
    </w:pPr>
    <w:rPr>
      <w:rFonts w:ascii="Times New Roman Bold" w:eastAsia="Times New Roman" w:hAnsi="Times New Roman Bold"/>
      <w:b/>
      <w:bCs/>
      <w:sz w:val="24"/>
      <w:szCs w:val="20"/>
      <w:lang w:val="en-US"/>
    </w:rPr>
  </w:style>
  <w:style w:type="character" w:styleId="Strong">
    <w:name w:val="Strong"/>
    <w:basedOn w:val="DefaultParagraphFont"/>
    <w:qFormat/>
    <w:rsid w:val="00D92CD5"/>
    <w:rPr>
      <w:b/>
      <w:bCs/>
    </w:rPr>
  </w:style>
  <w:style w:type="table" w:styleId="TableSimple1">
    <w:name w:val="Table Simple 1"/>
    <w:basedOn w:val="TableNormal"/>
    <w:rsid w:val="00D92CD5"/>
    <w:pPr>
      <w:spacing w:after="0" w:line="240" w:lineRule="auto"/>
    </w:pPr>
    <w:rPr>
      <w:rFonts w:ascii="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Box">
    <w:name w:val="Box"/>
    <w:basedOn w:val="BodyText"/>
    <w:rsid w:val="00D92CD5"/>
    <w:pPr>
      <w:numPr>
        <w:numId w:val="3"/>
      </w:numPr>
      <w:pBdr>
        <w:top w:val="single" w:sz="4" w:space="1" w:color="auto"/>
        <w:left w:val="single" w:sz="4" w:space="4" w:color="auto"/>
        <w:bottom w:val="single" w:sz="4" w:space="1" w:color="auto"/>
        <w:right w:val="single" w:sz="4" w:space="4" w:color="auto"/>
      </w:pBdr>
    </w:pPr>
  </w:style>
  <w:style w:type="paragraph" w:customStyle="1" w:styleId="StyleAfter6pt">
    <w:name w:val="Style After:  6 pt"/>
    <w:basedOn w:val="Normal"/>
    <w:rsid w:val="00D92CD5"/>
    <w:pPr>
      <w:spacing w:after="0"/>
    </w:pPr>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Park</dc:creator>
  <cp:lastModifiedBy>peterbs</cp:lastModifiedBy>
  <cp:revision>2</cp:revision>
  <cp:lastPrinted>2014-03-09T21:48:00Z</cp:lastPrinted>
  <dcterms:created xsi:type="dcterms:W3CDTF">2014-03-09T21:48:00Z</dcterms:created>
  <dcterms:modified xsi:type="dcterms:W3CDTF">2014-03-09T21:48:00Z</dcterms:modified>
</cp:coreProperties>
</file>